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086" w:rsidRDefault="006E0098">
      <w:pPr>
        <w:jc w:val="both"/>
        <w:rPr>
          <w:lang w:val="ro-RO"/>
        </w:rPr>
      </w:pPr>
      <w:bookmarkStart w:id="0" w:name="_GoBack"/>
      <w:bookmarkEnd w:id="0"/>
      <w:r>
        <w:rPr>
          <w:noProof/>
        </w:rPr>
        <w:drawing>
          <wp:anchor distT="0" distB="0" distL="0" distR="0" simplePos="0" relativeHeight="13" behindDoc="0" locked="0" layoutInCell="0" allowOverlap="1">
            <wp:simplePos x="0" y="0"/>
            <wp:positionH relativeFrom="column">
              <wp:posOffset>782320</wp:posOffset>
            </wp:positionH>
            <wp:positionV relativeFrom="paragraph">
              <wp:posOffset>-257810</wp:posOffset>
            </wp:positionV>
            <wp:extent cx="698500" cy="591820"/>
            <wp:effectExtent l="0" t="0" r="0" b="0"/>
            <wp:wrapNone/>
            <wp:docPr id="1" name="Picture 17" descr="SIGLA_GUVERNULUI_ROMÂNI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SIGLA_GUVERNULUI_ROMÂNIEI-PNG"/>
                    <pic:cNvPicPr>
                      <a:picLocks noChangeAspect="1" noChangeArrowheads="1"/>
                    </pic:cNvPicPr>
                  </pic:nvPicPr>
                  <pic:blipFill>
                    <a:blip r:embed="rId9"/>
                    <a:stretch>
                      <a:fillRect/>
                    </a:stretch>
                  </pic:blipFill>
                  <pic:spPr bwMode="auto">
                    <a:xfrm>
                      <a:off x="0" y="0"/>
                      <a:ext cx="698500" cy="591820"/>
                    </a:xfrm>
                    <a:prstGeom prst="rect">
                      <a:avLst/>
                    </a:prstGeom>
                  </pic:spPr>
                </pic:pic>
              </a:graphicData>
            </a:graphic>
          </wp:anchor>
        </w:drawing>
      </w:r>
      <w:r>
        <w:rPr>
          <w:noProof/>
        </w:rPr>
        <w:drawing>
          <wp:anchor distT="0" distB="0" distL="0" distR="0" simplePos="0" relativeHeight="18" behindDoc="0" locked="0" layoutInCell="0" allowOverlap="1">
            <wp:simplePos x="0" y="0"/>
            <wp:positionH relativeFrom="column">
              <wp:posOffset>1576070</wp:posOffset>
            </wp:positionH>
            <wp:positionV relativeFrom="paragraph">
              <wp:posOffset>-267335</wp:posOffset>
            </wp:positionV>
            <wp:extent cx="1259840" cy="875030"/>
            <wp:effectExtent l="0" t="0" r="0" b="0"/>
            <wp:wrapNone/>
            <wp:docPr id="2" name="Object 2"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2" descr="O imagine care conține text&#10;&#10;Descriere generată automat"/>
                    <pic:cNvPicPr>
                      <a:picLocks noChangeAspect="1" noChangeArrowheads="1"/>
                    </pic:cNvPicPr>
                  </pic:nvPicPr>
                  <pic:blipFill>
                    <a:blip r:embed="rId10"/>
                    <a:srcRect l="75630" r="-6303" b="-9330"/>
                    <a:stretch>
                      <a:fillRect/>
                    </a:stretch>
                  </pic:blipFill>
                  <pic:spPr bwMode="auto">
                    <a:xfrm>
                      <a:off x="0" y="0"/>
                      <a:ext cx="1259840" cy="875030"/>
                    </a:xfrm>
                    <a:prstGeom prst="rect">
                      <a:avLst/>
                    </a:prstGeom>
                  </pic:spPr>
                </pic:pic>
              </a:graphicData>
            </a:graphic>
          </wp:anchor>
        </w:drawing>
      </w:r>
      <w:r>
        <w:rPr>
          <w:noProof/>
        </w:rPr>
        <w:drawing>
          <wp:anchor distT="0" distB="0" distL="0" distR="0" simplePos="0" relativeHeight="19" behindDoc="0" locked="0" layoutInCell="0" allowOverlap="1">
            <wp:simplePos x="0" y="0"/>
            <wp:positionH relativeFrom="column">
              <wp:posOffset>2810510</wp:posOffset>
            </wp:positionH>
            <wp:positionV relativeFrom="paragraph">
              <wp:posOffset>-273685</wp:posOffset>
            </wp:positionV>
            <wp:extent cx="1440180" cy="895350"/>
            <wp:effectExtent l="0" t="0" r="0" b="0"/>
            <wp:wrapNone/>
            <wp:docPr id="3" name="Image1"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O imagine care conține text&#10;&#10;Descriere generată automat"/>
                    <pic:cNvPicPr>
                      <a:picLocks noChangeAspect="1" noChangeArrowheads="1"/>
                    </pic:cNvPicPr>
                  </pic:nvPicPr>
                  <pic:blipFill>
                    <a:blip r:embed="rId10"/>
                    <a:srcRect l="30773" r="30620" b="-9330"/>
                    <a:stretch>
                      <a:fillRect/>
                    </a:stretch>
                  </pic:blipFill>
                  <pic:spPr bwMode="auto">
                    <a:xfrm>
                      <a:off x="0" y="0"/>
                      <a:ext cx="1440180" cy="895350"/>
                    </a:xfrm>
                    <a:prstGeom prst="rect">
                      <a:avLst/>
                    </a:prstGeom>
                  </pic:spPr>
                </pic:pic>
              </a:graphicData>
            </a:graphic>
          </wp:anchor>
        </w:drawing>
      </w:r>
      <w:r>
        <w:rPr>
          <w:noProof/>
        </w:rPr>
        <w:drawing>
          <wp:anchor distT="0" distB="0" distL="0" distR="0" simplePos="0" relativeHeight="20" behindDoc="0" locked="0" layoutInCell="0" allowOverlap="1">
            <wp:simplePos x="0" y="0"/>
            <wp:positionH relativeFrom="column">
              <wp:posOffset>4404360</wp:posOffset>
            </wp:positionH>
            <wp:positionV relativeFrom="paragraph">
              <wp:posOffset>-260985</wp:posOffset>
            </wp:positionV>
            <wp:extent cx="1593850" cy="857250"/>
            <wp:effectExtent l="0" t="0" r="0" b="0"/>
            <wp:wrapNone/>
            <wp:docPr id="4" name="Picture 13"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O imagine care conține text&#10;&#10;Descriere generată automat"/>
                    <pic:cNvPicPr>
                      <a:picLocks noChangeAspect="1" noChangeArrowheads="1"/>
                    </pic:cNvPicPr>
                  </pic:nvPicPr>
                  <pic:blipFill>
                    <a:blip r:embed="rId10"/>
                    <a:srcRect l="-3705" r="74099" b="-9330"/>
                    <a:stretch>
                      <a:fillRect/>
                    </a:stretch>
                  </pic:blipFill>
                  <pic:spPr bwMode="auto">
                    <a:xfrm>
                      <a:off x="0" y="0"/>
                      <a:ext cx="1593850" cy="857250"/>
                    </a:xfrm>
                    <a:prstGeom prst="rect">
                      <a:avLst/>
                    </a:prstGeom>
                  </pic:spPr>
                </pic:pic>
              </a:graphicData>
            </a:graphic>
          </wp:anchor>
        </w:drawing>
      </w:r>
    </w:p>
    <w:p w:rsidR="004D1086" w:rsidRDefault="006E0098">
      <w:pPr>
        <w:jc w:val="both"/>
        <w:rPr>
          <w:lang w:val="ro-RO"/>
        </w:rPr>
      </w:pPr>
      <w:r>
        <w:rPr>
          <w:noProof/>
        </w:rPr>
        <mc:AlternateContent>
          <mc:Choice Requires="wps">
            <w:drawing>
              <wp:anchor distT="0" distB="0" distL="0" distR="0" simplePos="0" relativeHeight="15" behindDoc="0" locked="0" layoutInCell="0" allowOverlap="1" wp14:anchorId="57785CB4">
                <wp:simplePos x="0" y="0"/>
                <wp:positionH relativeFrom="column">
                  <wp:posOffset>364490</wp:posOffset>
                </wp:positionH>
                <wp:positionV relativeFrom="paragraph">
                  <wp:posOffset>86995</wp:posOffset>
                </wp:positionV>
                <wp:extent cx="1268095" cy="302895"/>
                <wp:effectExtent l="0" t="0" r="0" b="3175"/>
                <wp:wrapNone/>
                <wp:docPr id="5" name="Rectangle 16"/>
                <wp:cNvGraphicFramePr/>
                <a:graphic xmlns:a="http://schemas.openxmlformats.org/drawingml/2006/main">
                  <a:graphicData uri="http://schemas.microsoft.com/office/word/2010/wordprocessingShape">
                    <wps:wsp>
                      <wps:cNvSpPr/>
                      <wps:spPr>
                        <a:xfrm>
                          <a:off x="0" y="0"/>
                          <a:ext cx="1267560" cy="302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4D1086" w:rsidRDefault="006E0098">
                            <w:pPr>
                              <w:pStyle w:val="FrameContents"/>
                              <w:jc w:val="right"/>
                              <w:textAlignment w:val="baseline"/>
                              <w:rPr>
                                <w:rFonts w:ascii="Arial Narrow" w:hAnsi="Arial Narrow"/>
                                <w:b/>
                                <w:bCs/>
                                <w:color w:val="002060"/>
                                <w:kern w:val="2"/>
                                <w:sz w:val="16"/>
                                <w:szCs w:val="16"/>
                                <w:lang w:val="fr-FR"/>
                              </w:rPr>
                            </w:pPr>
                            <w:r>
                              <w:rPr>
                                <w:rFonts w:ascii="Arial Narrow" w:hAnsi="Arial Narrow"/>
                                <w:b/>
                                <w:bCs/>
                                <w:color w:val="002060"/>
                                <w:kern w:val="2"/>
                                <w:sz w:val="16"/>
                                <w:szCs w:val="16"/>
                                <w:lang w:val="fr-FR"/>
                              </w:rPr>
                              <w:t xml:space="preserve">MINISTERUL </w:t>
                            </w:r>
                            <w:r>
                              <w:rPr>
                                <w:rFonts w:ascii="Arial Narrow" w:hAnsi="Arial Narrow"/>
                                <w:b/>
                                <w:bCs/>
                                <w:color w:val="002060"/>
                                <w:kern w:val="2"/>
                                <w:sz w:val="16"/>
                                <w:szCs w:val="16"/>
                              </w:rPr>
                              <w:t>S</w:t>
                            </w:r>
                            <w:r>
                              <w:rPr>
                                <w:rFonts w:ascii="Arial Narrow" w:hAnsi="Arial Narrow"/>
                                <w:b/>
                                <w:bCs/>
                                <w:color w:val="002060"/>
                                <w:kern w:val="2"/>
                                <w:sz w:val="16"/>
                                <w:szCs w:val="16"/>
                                <w:lang w:val="fr-FR"/>
                              </w:rPr>
                              <w:t>ĂNĂTĂȚII</w:t>
                            </w:r>
                          </w:p>
                        </w:txbxContent>
                      </wps:txbx>
                      <wps:bodyPr>
                        <a:noAutofit/>
                      </wps:bodyPr>
                    </wps:wsp>
                  </a:graphicData>
                </a:graphic>
              </wp:anchor>
            </w:drawing>
          </mc:Choice>
          <mc:Fallback>
            <w:pict>
              <v:rect id="shape_0" ID="Rectangle 16" fillcolor="white" stroked="f" style="position:absolute;margin-left:28.7pt;margin-top:6.85pt;width:99.75pt;height:23.75pt;mso-wrap-style:square;v-text-anchor:top" wp14:anchorId="57785CB4">
                <v:fill o:detectmouseclick="t" type="solid" color2="black"/>
                <v:stroke color="#3465a4" joinstyle="round" endcap="flat"/>
                <v:textbox>
                  <w:txbxContent>
                    <w:p>
                      <w:pPr>
                        <w:pStyle w:val="FrameContents"/>
                        <w:spacing w:before="0" w:after="160"/>
                        <w:jc w:val="right"/>
                        <w:textAlignment w:val="baseline"/>
                        <w:rPr>
                          <w:rFonts w:ascii="Arial Narrow" w:hAnsi="Arial Narrow"/>
                          <w:b/>
                          <w:b/>
                          <w:bCs/>
                          <w:color w:val="002060"/>
                          <w:kern w:val="2"/>
                          <w:sz w:val="16"/>
                          <w:szCs w:val="16"/>
                          <w:lang w:val="fr-FR"/>
                        </w:rPr>
                      </w:pPr>
                      <w:r>
                        <w:rPr>
                          <w:rFonts w:ascii="Arial Narrow" w:hAnsi="Arial Narrow"/>
                          <w:b/>
                          <w:bCs/>
                          <w:color w:val="002060"/>
                          <w:kern w:val="2"/>
                          <w:sz w:val="16"/>
                          <w:szCs w:val="16"/>
                          <w:lang w:val="fr-FR"/>
                        </w:rPr>
                        <w:t xml:space="preserve">MINISTERUL </w:t>
                      </w:r>
                      <w:r>
                        <w:rPr>
                          <w:rFonts w:ascii="Arial Narrow" w:hAnsi="Arial Narrow"/>
                          <w:b/>
                          <w:bCs/>
                          <w:color w:val="002060"/>
                          <w:kern w:val="2"/>
                          <w:sz w:val="16"/>
                          <w:szCs w:val="16"/>
                        </w:rPr>
                        <w:t>S</w:t>
                      </w:r>
                      <w:r>
                        <w:rPr>
                          <w:rFonts w:ascii="Arial Narrow" w:hAnsi="Arial Narrow"/>
                          <w:b/>
                          <w:bCs/>
                          <w:color w:val="002060"/>
                          <w:kern w:val="2"/>
                          <w:sz w:val="16"/>
                          <w:szCs w:val="16"/>
                          <w:lang w:val="fr-FR"/>
                        </w:rPr>
                        <w:t>ĂNĂTĂȚII</w:t>
                      </w:r>
                    </w:p>
                  </w:txbxContent>
                </v:textbox>
                <w10:wrap type="none"/>
              </v:rect>
            </w:pict>
          </mc:Fallback>
        </mc:AlternateContent>
      </w:r>
    </w:p>
    <w:p w:rsidR="004D1086" w:rsidRDefault="004D1086">
      <w:pPr>
        <w:jc w:val="both"/>
        <w:rPr>
          <w:lang w:val="ro-RO"/>
        </w:rPr>
      </w:pPr>
    </w:p>
    <w:p w:rsidR="004D1086" w:rsidRDefault="006E0098">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Campania </w:t>
      </w:r>
      <w:proofErr w:type="spellStart"/>
      <w:r>
        <w:rPr>
          <w:rFonts w:ascii="Times New Roman" w:hAnsi="Times New Roman" w:cs="Times New Roman"/>
          <w:b/>
          <w:sz w:val="24"/>
          <w:szCs w:val="24"/>
        </w:rPr>
        <w:t>națională</w:t>
      </w:r>
      <w:proofErr w:type="spellEnd"/>
    </w:p>
    <w:p w:rsidR="004D1086" w:rsidRDefault="006E0098">
      <w:pPr>
        <w:spacing w:after="0" w:line="240" w:lineRule="auto"/>
        <w:ind w:left="360"/>
        <w:jc w:val="center"/>
        <w:rPr>
          <w:rFonts w:ascii="Times New Roman" w:hAnsi="Times New Roman" w:cs="Times New Roman"/>
          <w:b/>
        </w:rPr>
      </w:pPr>
      <w:proofErr w:type="spellStart"/>
      <w:r>
        <w:rPr>
          <w:rFonts w:ascii="Times New Roman" w:hAnsi="Times New Roman" w:cs="Times New Roman"/>
          <w:b/>
          <w:sz w:val="24"/>
          <w:szCs w:val="24"/>
        </w:rPr>
        <w:t>Nutriție</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Alimentație</w:t>
      </w:r>
      <w:proofErr w:type="spellEnd"/>
      <w:r>
        <w:rPr>
          <w:rFonts w:ascii="Times New Roman" w:hAnsi="Times New Roman" w:cs="Times New Roman"/>
          <w:b/>
        </w:rPr>
        <w:t>,</w:t>
      </w:r>
    </w:p>
    <w:p w:rsidR="004D1086" w:rsidRDefault="006E0098">
      <w:pPr>
        <w:spacing w:after="0" w:line="240" w:lineRule="auto"/>
        <w:jc w:val="center"/>
        <w:rPr>
          <w:color w:val="000000" w:themeColor="text1"/>
          <w:sz w:val="24"/>
          <w:szCs w:val="24"/>
        </w:rPr>
      </w:pPr>
      <w:r>
        <w:rPr>
          <w:rFonts w:ascii="Times New Roman" w:hAnsi="Times New Roman"/>
          <w:b/>
          <w:color w:val="000000" w:themeColor="text1"/>
          <w:sz w:val="24"/>
          <w:szCs w:val="24"/>
          <w:lang w:val="ro-RO"/>
        </w:rPr>
        <w:t xml:space="preserve">Ziua națională a alimentației și a combaterii risipei alimentare </w:t>
      </w:r>
    </w:p>
    <w:p w:rsidR="004D1086" w:rsidRDefault="004D1086">
      <w:pPr>
        <w:spacing w:after="0" w:line="240" w:lineRule="auto"/>
        <w:jc w:val="center"/>
        <w:rPr>
          <w:rFonts w:ascii="Times New Roman" w:hAnsi="Times New Roman"/>
          <w:b/>
          <w:color w:val="000000" w:themeColor="text1"/>
          <w:lang w:val="ro-RO"/>
        </w:rPr>
      </w:pPr>
    </w:p>
    <w:p w:rsidR="004D1086" w:rsidRDefault="006E0098">
      <w:pPr>
        <w:spacing w:after="0" w:line="240" w:lineRule="auto"/>
        <w:jc w:val="center"/>
        <w:rPr>
          <w:color w:val="000000" w:themeColor="text1"/>
        </w:rPr>
      </w:pPr>
      <w:r>
        <w:rPr>
          <w:rFonts w:ascii="Times New Roman" w:hAnsi="Times New Roman"/>
          <w:b/>
          <w:color w:val="000000" w:themeColor="text1"/>
          <w:lang w:val="ro-RO"/>
        </w:rPr>
        <w:t>16 OCTOMBRIE 2022</w:t>
      </w:r>
    </w:p>
    <w:p w:rsidR="004D1086" w:rsidRDefault="006E0098">
      <w:pPr>
        <w:jc w:val="center"/>
        <w:rPr>
          <w:sz w:val="24"/>
          <w:szCs w:val="24"/>
        </w:rPr>
      </w:pPr>
      <w:r>
        <w:rPr>
          <w:rFonts w:ascii="Times New Roman" w:eastAsia="Times New Roman" w:hAnsi="Times New Roman" w:cs="Times New Roman"/>
          <w:b/>
          <w:bCs/>
          <w:sz w:val="24"/>
          <w:szCs w:val="24"/>
          <w:lang w:val="ro-RO" w:eastAsia="ro-RO"/>
        </w:rPr>
        <w:t>Alimentație sănătoasă pentru toți</w:t>
      </w:r>
    </w:p>
    <w:p w:rsidR="004D1086" w:rsidRDefault="006E0098">
      <w:pPr>
        <w:jc w:val="center"/>
      </w:pPr>
      <w:r>
        <w:rPr>
          <w:rFonts w:ascii="Times New Roman" w:eastAsia="Times New Roman" w:hAnsi="Times New Roman" w:cs="Times New Roman"/>
          <w:b/>
          <w:bCs/>
          <w:sz w:val="24"/>
          <w:szCs w:val="24"/>
          <w:lang w:val="ro-RO" w:eastAsia="ro-RO"/>
        </w:rPr>
        <w:t>Importanța consumului de cereale integrale</w:t>
      </w:r>
    </w:p>
    <w:p w:rsidR="004D1086" w:rsidRDefault="006E0098">
      <w:pPr>
        <w:jc w:val="both"/>
        <w:rPr>
          <w:color w:val="0000FF"/>
        </w:rPr>
      </w:pPr>
      <w:r>
        <w:rPr>
          <w:rFonts w:ascii="Times New Roman" w:hAnsi="Times New Roman"/>
          <w:color w:val="0000FF"/>
          <w:lang w:val="ro-RO" w:eastAsia="ro-RO"/>
        </w:rPr>
        <w:t xml:space="preserve">1. PREZENTARE </w:t>
      </w:r>
      <w:r>
        <w:rPr>
          <w:rFonts w:ascii="Times New Roman" w:hAnsi="Times New Roman"/>
          <w:color w:val="0000FF"/>
          <w:lang w:val="ro-RO" w:eastAsia="ro-RO"/>
        </w:rPr>
        <w:t>GENERALĂ</w:t>
      </w:r>
    </w:p>
    <w:p w:rsidR="004D1086" w:rsidRDefault="004D1086">
      <w:pPr>
        <w:spacing w:after="0" w:line="240" w:lineRule="auto"/>
        <w:jc w:val="both"/>
        <w:rPr>
          <w:rFonts w:ascii="Times New Roman" w:eastAsia="Times New Roman" w:hAnsi="Times New Roman" w:cs="Times New Roman"/>
          <w:color w:val="000000"/>
          <w:lang w:val="ro-RO" w:eastAsia="ro-RO"/>
        </w:rPr>
      </w:pPr>
    </w:p>
    <w:p w:rsidR="004D1086" w:rsidRDefault="006E0098">
      <w:pPr>
        <w:pStyle w:val="NormalWeb"/>
        <w:numPr>
          <w:ilvl w:val="0"/>
          <w:numId w:val="13"/>
        </w:numPr>
        <w:spacing w:before="280" w:beforeAutospacing="0" w:after="0" w:afterAutospacing="0"/>
        <w:jc w:val="both"/>
        <w:rPr>
          <w:color w:val="3C4245"/>
          <w:sz w:val="22"/>
          <w:szCs w:val="22"/>
        </w:rPr>
      </w:pPr>
      <w:r>
        <w:rPr>
          <w:color w:val="000000"/>
          <w:sz w:val="22"/>
          <w:szCs w:val="22"/>
        </w:rPr>
        <w:t>În primii 2 ani de viață ai unui copil, alimentația optimă favorizează creșterea sănătoasă și îmbunătățește dezvoltarea cognitivă. De asemenea, reduce riscul de a deveni supraponderal sau obez și de a dezvolta BNT mai târziu în viață.Raportul OMS</w:t>
      </w:r>
      <w:r>
        <w:rPr>
          <w:rStyle w:val="FootnoteAnchor"/>
          <w:color w:val="000000"/>
          <w:sz w:val="22"/>
          <w:szCs w:val="22"/>
        </w:rPr>
        <w:footnoteReference w:id="1"/>
      </w:r>
      <w:hyperlink r:id="rId11" w:tgtFrame="_blank">
        <w:r>
          <w:rPr>
            <w:color w:val="000000"/>
            <w:sz w:val="22"/>
            <w:szCs w:val="22"/>
            <w:u w:val="single"/>
          </w:rPr>
          <w:t xml:space="preserve"> Starea securității alimentare și a nutriției în lume în anul 2022</w:t>
        </w:r>
      </w:hyperlink>
      <w:r>
        <w:rPr>
          <w:color w:val="000000"/>
          <w:sz w:val="22"/>
          <w:szCs w:val="22"/>
        </w:rPr>
        <w:t xml:space="preserve"> dezvăluie povara globală a foametei și a malnutriției sub </w:t>
      </w:r>
      <w:r>
        <w:rPr>
          <w:color w:val="000000"/>
          <w:sz w:val="22"/>
          <w:szCs w:val="22"/>
        </w:rPr>
        <w:t xml:space="preserve">toate formele sale. Efectele persistente ale pandemiei de COVID-19 – împreună cu perturbarea aprovizionării cu alimente cauzate de conflictele internaționale intensificate și evenimentele climatice extreme – continuă să împiedice progresul către atingerea </w:t>
      </w:r>
      <w:r>
        <w:rPr>
          <w:color w:val="000000"/>
          <w:sz w:val="22"/>
          <w:szCs w:val="22"/>
        </w:rPr>
        <w:t>Obiectivelor de Dezvoltare Durabilă (ODD). La nivel global, peste 3 miliarde de oameni nu își pot permite o alimentație sănătoasă.  Alimentația  nesănătoase cauzează milioane de decese anual, prin consumul insuficient de cereale integrale, leguminoase, leg</w:t>
      </w:r>
      <w:r>
        <w:rPr>
          <w:color w:val="000000"/>
          <w:sz w:val="22"/>
          <w:szCs w:val="22"/>
        </w:rPr>
        <w:t>ume și fructe și consumul inadecvat de sodiu/sare, zaharuri și grăsimi dăunătoare.</w:t>
      </w:r>
    </w:p>
    <w:p w:rsidR="004D1086" w:rsidRDefault="006E0098">
      <w:pPr>
        <w:numPr>
          <w:ilvl w:val="0"/>
          <w:numId w:val="13"/>
        </w:numPr>
        <w:spacing w:after="0" w:line="240" w:lineRule="auto"/>
        <w:jc w:val="both"/>
        <w:rPr>
          <w:color w:val="000000"/>
          <w:lang w:val="ro-RO"/>
        </w:rPr>
      </w:pPr>
      <w:r>
        <w:rPr>
          <w:rFonts w:ascii="Times New Roman" w:eastAsia="Times New Roman" w:hAnsi="Times New Roman" w:cs="Times New Roman"/>
          <w:color w:val="000000"/>
          <w:lang w:val="ro-RO" w:eastAsia="ro-RO"/>
        </w:rPr>
        <w:t>Un mesaj cheie al raportului este că actualul sprijin guvernamental pentru sectoarele alimentare și agricole nu este adesea aliniat cu promovarea alimentației sănătoase. Ace</w:t>
      </w:r>
      <w:r>
        <w:rPr>
          <w:rFonts w:ascii="Times New Roman" w:eastAsia="Times New Roman" w:hAnsi="Times New Roman" w:cs="Times New Roman"/>
          <w:color w:val="000000"/>
          <w:lang w:val="ro-RO" w:eastAsia="ro-RO"/>
        </w:rPr>
        <w:t>st raport arată cum realinierea politicilor alimentare și agricole poate crește accesul la alimente nutritive și poate face sistemele alimentare mai sănătoase, echitabile și durabile. În același timp, alte politici ale sistemului alimentar trebuie să compl</w:t>
      </w:r>
      <w:r>
        <w:rPr>
          <w:rFonts w:ascii="Times New Roman" w:eastAsia="Times New Roman" w:hAnsi="Times New Roman" w:cs="Times New Roman"/>
          <w:color w:val="000000"/>
          <w:lang w:val="ro-RO" w:eastAsia="ro-RO"/>
        </w:rPr>
        <w:t>eteze aceste eforturi pentru a le spori impactul, prin crearea de stimulente și medii favorabile pentru o alimentație diete sănătoasă.</w:t>
      </w:r>
    </w:p>
    <w:p w:rsidR="004D1086" w:rsidRDefault="006E0098">
      <w:pPr>
        <w:numPr>
          <w:ilvl w:val="0"/>
          <w:numId w:val="13"/>
        </w:numPr>
        <w:spacing w:after="0" w:line="240" w:lineRule="auto"/>
        <w:jc w:val="both"/>
        <w:rPr>
          <w:lang w:val="ro-RO"/>
        </w:rPr>
      </w:pPr>
      <w:r>
        <w:rPr>
          <w:rFonts w:ascii="Times New Roman" w:eastAsia="Times New Roman" w:hAnsi="Times New Roman" w:cs="Times New Roman"/>
          <w:color w:val="000000"/>
          <w:lang w:val="ro-RO" w:eastAsia="ro-RO"/>
        </w:rPr>
        <w:t xml:space="preserve">OMS sprijină eforturile țărilor de a îmbunătăți sistemele alimentare printr-un </w:t>
      </w:r>
      <w:hyperlink r:id="rId12" w:tgtFrame="_blank">
        <w:r>
          <w:rPr>
            <w:rFonts w:ascii="Times New Roman" w:eastAsia="Times New Roman" w:hAnsi="Times New Roman" w:cs="Times New Roman"/>
            <w:color w:val="000000"/>
            <w:u w:val="single"/>
            <w:lang w:val="ro-RO" w:eastAsia="ro-RO"/>
          </w:rPr>
          <w:t>pachet de acțiuni prioritare,</w:t>
        </w:r>
      </w:hyperlink>
      <w:r>
        <w:rPr>
          <w:rFonts w:ascii="Times New Roman" w:eastAsia="Times New Roman" w:hAnsi="Times New Roman" w:cs="Times New Roman"/>
          <w:color w:val="000000"/>
          <w:lang w:val="ro-RO" w:eastAsia="ro-RO"/>
        </w:rPr>
        <w:t xml:space="preserve"> inclusiv impozitarea alimentelor nesănătoase și subvenționarea opțiunilor sănătoase, protejarea copiilor de marketingul dăunător, asigurarea etichetelor nutriționale clare, r</w:t>
      </w:r>
      <w:r>
        <w:rPr>
          <w:rFonts w:ascii="Times New Roman" w:eastAsia="Times New Roman" w:hAnsi="Times New Roman" w:cs="Times New Roman"/>
          <w:color w:val="000000"/>
          <w:lang w:val="ro-RO" w:eastAsia="ro-RO"/>
        </w:rPr>
        <w:t>educerea conținutului de sare, zaharuri și grăsimi dăunătoare din alimentele procesate, fortificarea alimentelor de bază, îmbunătățirea meselor în școli și spitale și consolidarea sistemelor naționale de control al alimentelor.</w:t>
      </w:r>
    </w:p>
    <w:p w:rsidR="004D1086" w:rsidRDefault="006E0098">
      <w:pPr>
        <w:numPr>
          <w:ilvl w:val="0"/>
          <w:numId w:val="13"/>
        </w:numPr>
        <w:spacing w:after="0" w:line="240" w:lineRule="auto"/>
        <w:jc w:val="both"/>
        <w:rPr>
          <w:color w:val="000000"/>
          <w:lang w:val="ro-RO"/>
        </w:rPr>
      </w:pPr>
      <w:r>
        <w:rPr>
          <w:rFonts w:ascii="Times New Roman" w:eastAsia="Times New Roman" w:hAnsi="Times New Roman" w:cs="Times New Roman"/>
          <w:color w:val="000000"/>
          <w:lang w:val="ro-RO" w:eastAsia="ro-RO"/>
        </w:rPr>
        <w:t>Politicile de achiziții publ</w:t>
      </w:r>
      <w:r>
        <w:rPr>
          <w:rFonts w:ascii="Times New Roman" w:eastAsia="Times New Roman" w:hAnsi="Times New Roman" w:cs="Times New Roman"/>
          <w:color w:val="000000"/>
          <w:lang w:val="ro-RO" w:eastAsia="ro-RO"/>
        </w:rPr>
        <w:t>ice sănătoase de alimente și servicii, de exemplu, au un potențial neexploatat. În general, astfel de politici implică guvernele să stabilească criterii pentru alimentele servite sau vândute în locuri publice sau pentru alimentele cumpărate din fonduri guv</w:t>
      </w:r>
      <w:r>
        <w:rPr>
          <w:rFonts w:ascii="Times New Roman" w:eastAsia="Times New Roman" w:hAnsi="Times New Roman" w:cs="Times New Roman"/>
          <w:color w:val="000000"/>
          <w:lang w:val="ro-RO" w:eastAsia="ro-RO"/>
        </w:rPr>
        <w:t>ernamentale, cum ar fi birourile guvernamentale, școlile, instituțiile de îngrijire a copiilor, căminele de bătrâni, spitalele și cantinele sau chioșcurile din toate celelalte locuri publice.</w:t>
      </w:r>
    </w:p>
    <w:p w:rsidR="004D1086" w:rsidRDefault="006E0098">
      <w:pPr>
        <w:numPr>
          <w:ilvl w:val="0"/>
          <w:numId w:val="13"/>
        </w:numPr>
        <w:spacing w:after="0" w:line="240" w:lineRule="auto"/>
        <w:jc w:val="both"/>
        <w:rPr>
          <w:lang w:val="ro-RO"/>
        </w:rPr>
      </w:pPr>
      <w:r>
        <w:rPr>
          <w:rFonts w:ascii="Times New Roman" w:eastAsia="Times New Roman" w:hAnsi="Times New Roman" w:cs="Times New Roman"/>
          <w:color w:val="000000"/>
          <w:lang w:val="ro-RO" w:eastAsia="ro-RO"/>
        </w:rPr>
        <w:t>Pentru a sprijini țările în aceste eforturi, OMS oferă îndrumări</w:t>
      </w:r>
      <w:r>
        <w:rPr>
          <w:rFonts w:ascii="Times New Roman" w:eastAsia="Times New Roman" w:hAnsi="Times New Roman" w:cs="Times New Roman"/>
          <w:color w:val="000000"/>
          <w:lang w:val="ro-RO" w:eastAsia="ro-RO"/>
        </w:rPr>
        <w:t xml:space="preserve"> în cadrul de </w:t>
      </w:r>
      <w:hyperlink r:id="rId13" w:tgtFrame="_blank">
        <w:r>
          <w:rPr>
            <w:rFonts w:ascii="Times New Roman" w:eastAsia="Times New Roman" w:hAnsi="Times New Roman" w:cs="Times New Roman"/>
            <w:i/>
            <w:iCs/>
            <w:color w:val="000000"/>
            <w:lang w:val="ro-RO" w:eastAsia="ro-RO"/>
          </w:rPr>
          <w:t>acțiune pentru dezvoltarea și implementarea politicilor de achiziții publice de alimente și servicii pentru o alimentație sănătoasă</w:t>
        </w:r>
      </w:hyperlink>
      <w:r>
        <w:rPr>
          <w:rFonts w:ascii="Times New Roman" w:eastAsia="Times New Roman" w:hAnsi="Times New Roman" w:cs="Times New Roman"/>
          <w:color w:val="000000"/>
          <w:lang w:val="ro-RO" w:eastAsia="ro-RO"/>
        </w:rPr>
        <w:t>.</w:t>
      </w:r>
    </w:p>
    <w:p w:rsidR="004D1086" w:rsidRDefault="006E0098">
      <w:pPr>
        <w:pStyle w:val="NormalWeb"/>
        <w:numPr>
          <w:ilvl w:val="0"/>
          <w:numId w:val="13"/>
        </w:numPr>
        <w:spacing w:before="280" w:beforeAutospacing="0" w:after="0" w:afterAutospacing="0"/>
        <w:jc w:val="both"/>
        <w:rPr>
          <w:color w:val="000000"/>
        </w:rPr>
      </w:pPr>
      <w:r>
        <w:rPr>
          <w:color w:val="000000"/>
          <w:sz w:val="22"/>
          <w:szCs w:val="22"/>
        </w:rPr>
        <w:t xml:space="preserve">O alimentație  </w:t>
      </w:r>
      <w:r>
        <w:rPr>
          <w:color w:val="000000"/>
          <w:sz w:val="22"/>
          <w:szCs w:val="22"/>
        </w:rPr>
        <w:t>sănătoasă pe tot parcursul vieții ajută la prevenirea malnutriției sub toate formele sale, precum și a numeroase boli netransmisibile (BNT)</w:t>
      </w:r>
      <w:r>
        <w:rPr>
          <w:rStyle w:val="FootnoteAnchor"/>
          <w:color w:val="000000"/>
          <w:sz w:val="22"/>
          <w:szCs w:val="22"/>
        </w:rPr>
        <w:footnoteReference w:id="2"/>
      </w:r>
      <w:r>
        <w:rPr>
          <w:color w:val="000000"/>
          <w:sz w:val="22"/>
          <w:szCs w:val="22"/>
        </w:rPr>
        <w:t xml:space="preserve">. Cu toate acestea, producția crescută de alimente procesate, urbanizarea rapidă și schimbarea stilului de viață au </w:t>
      </w:r>
      <w:r>
        <w:rPr>
          <w:color w:val="000000"/>
          <w:sz w:val="22"/>
          <w:szCs w:val="22"/>
        </w:rPr>
        <w:t xml:space="preserve">dus la o schimbare a tiparelor alimentare. Oamenii consumă acum mai multe alimente bogate în energie, grăsimi, zaharuri libere și </w:t>
      </w:r>
      <w:r>
        <w:rPr>
          <w:color w:val="000000"/>
          <w:sz w:val="22"/>
          <w:szCs w:val="22"/>
        </w:rPr>
        <w:lastRenderedPageBreak/>
        <w:t>sare/sodiu, iar mulți oameni nu mănâncă suficiente fructe, legume și alte fibre alimentare, cum ar fi cerealele integrale.</w:t>
      </w:r>
    </w:p>
    <w:p w:rsidR="004D1086" w:rsidRDefault="006E0098">
      <w:pPr>
        <w:pStyle w:val="NormalWeb"/>
        <w:numPr>
          <w:ilvl w:val="0"/>
          <w:numId w:val="13"/>
        </w:numPr>
        <w:spacing w:before="280" w:beforeAutospacing="0" w:after="0" w:afterAutospacing="0"/>
        <w:jc w:val="both"/>
        <w:rPr>
          <w:color w:val="000000"/>
        </w:rPr>
      </w:pPr>
      <w:r>
        <w:rPr>
          <w:color w:val="000000"/>
          <w:sz w:val="22"/>
          <w:szCs w:val="22"/>
        </w:rPr>
        <w:t>Str</w:t>
      </w:r>
      <w:r>
        <w:rPr>
          <w:color w:val="000000"/>
          <w:sz w:val="22"/>
          <w:szCs w:val="22"/>
        </w:rPr>
        <w:t>uctura exactă a unei diete diversificate, echilibrate și sănătoase va varia în funcție de caracteristicile individuale (de exemplu, vârsta, sexul, stilul de viață și gradul de activitate fizică), contextul cultural, alimentele disponibile la nivel local și</w:t>
      </w:r>
      <w:r>
        <w:rPr>
          <w:color w:val="000000"/>
          <w:sz w:val="22"/>
          <w:szCs w:val="22"/>
        </w:rPr>
        <w:t xml:space="preserve"> obiceiurile alimentare. Cu toate acestea, principiile de bază ale unei alimentații sănătoase rămân aceleași.</w:t>
      </w:r>
    </w:p>
    <w:p w:rsidR="004D1086" w:rsidRDefault="006E0098">
      <w:pPr>
        <w:pStyle w:val="NormalWeb"/>
        <w:numPr>
          <w:ilvl w:val="0"/>
          <w:numId w:val="13"/>
        </w:numPr>
        <w:spacing w:before="280" w:beforeAutospacing="0" w:after="0" w:afterAutospacing="0"/>
        <w:jc w:val="both"/>
        <w:rPr>
          <w:color w:val="000000"/>
        </w:rPr>
      </w:pPr>
      <w:r>
        <w:rPr>
          <w:color w:val="000000"/>
          <w:sz w:val="22"/>
          <w:szCs w:val="22"/>
        </w:rPr>
        <w:t>Pentru adulți, o alimentație sănătoasă include următoarele:</w:t>
      </w:r>
    </w:p>
    <w:p w:rsidR="004D1086" w:rsidRDefault="006E0098">
      <w:pPr>
        <w:numPr>
          <w:ilvl w:val="0"/>
          <w:numId w:val="13"/>
        </w:numPr>
        <w:spacing w:after="0" w:line="240" w:lineRule="auto"/>
        <w:jc w:val="both"/>
        <w:rPr>
          <w:color w:val="000000"/>
          <w:lang w:val="ro-RO"/>
        </w:rPr>
      </w:pPr>
      <w:r>
        <w:rPr>
          <w:rFonts w:ascii="Times New Roman" w:hAnsi="Times New Roman" w:cs="Times New Roman"/>
          <w:color w:val="000000"/>
          <w:lang w:val="ro-RO"/>
        </w:rPr>
        <w:t xml:space="preserve">Fructe, legume, leguminoase (de exemplu linte și fasole), nuci și </w:t>
      </w:r>
      <w:r>
        <w:rPr>
          <w:rFonts w:ascii="Times New Roman" w:hAnsi="Times New Roman" w:cs="Times New Roman"/>
          <w:color w:val="000000"/>
          <w:u w:val="single"/>
          <w:lang w:val="ro-RO"/>
        </w:rPr>
        <w:t>cereale integrale</w:t>
      </w:r>
      <w:r>
        <w:rPr>
          <w:rFonts w:ascii="Times New Roman" w:hAnsi="Times New Roman" w:cs="Times New Roman"/>
          <w:color w:val="000000"/>
          <w:lang w:val="ro-RO"/>
        </w:rPr>
        <w:t xml:space="preserve"> (d</w:t>
      </w:r>
      <w:r>
        <w:rPr>
          <w:rFonts w:ascii="Times New Roman" w:hAnsi="Times New Roman" w:cs="Times New Roman"/>
          <w:color w:val="000000"/>
          <w:lang w:val="ro-RO"/>
        </w:rPr>
        <w:t>e exemplu porumb neprelucrat, mei, ovăz, grâu și orez brun).</w:t>
      </w:r>
    </w:p>
    <w:p w:rsidR="004D1086" w:rsidRDefault="006E0098">
      <w:pPr>
        <w:numPr>
          <w:ilvl w:val="0"/>
          <w:numId w:val="13"/>
        </w:numPr>
        <w:spacing w:after="0" w:line="240" w:lineRule="auto"/>
        <w:jc w:val="both"/>
        <w:rPr>
          <w:color w:val="000000"/>
          <w:lang w:val="ro-RO"/>
        </w:rPr>
      </w:pPr>
      <w:r>
        <w:rPr>
          <w:rFonts w:ascii="Times New Roman" w:hAnsi="Times New Roman" w:cs="Times New Roman"/>
          <w:color w:val="000000"/>
          <w:lang w:val="ro-RO"/>
        </w:rPr>
        <w:t>Cel puțin 400 g (adică cinci porții) de fructe și legume pe zi</w:t>
      </w:r>
      <w:r>
        <w:rPr>
          <w:rStyle w:val="FootnoteAnchor"/>
          <w:rFonts w:ascii="Times New Roman" w:hAnsi="Times New Roman" w:cs="Times New Roman"/>
          <w:color w:val="000000"/>
          <w:lang w:val="ro-RO"/>
        </w:rPr>
        <w:footnoteReference w:id="3"/>
      </w:r>
      <w:r>
        <w:rPr>
          <w:rFonts w:ascii="Times New Roman" w:hAnsi="Times New Roman" w:cs="Times New Roman"/>
          <w:color w:val="000000"/>
          <w:lang w:val="ro-RO"/>
        </w:rPr>
        <w:t>, excluzând cartofii, dulci și alte rădăcinoase cu amidon.</w:t>
      </w:r>
    </w:p>
    <w:p w:rsidR="004D1086" w:rsidRDefault="006E0098">
      <w:pPr>
        <w:numPr>
          <w:ilvl w:val="0"/>
          <w:numId w:val="13"/>
        </w:numPr>
        <w:spacing w:after="0" w:line="240" w:lineRule="auto"/>
        <w:jc w:val="both"/>
        <w:rPr>
          <w:color w:val="000000"/>
          <w:lang w:val="ro-RO"/>
        </w:rPr>
      </w:pPr>
      <w:r>
        <w:rPr>
          <w:rFonts w:ascii="Times New Roman" w:hAnsi="Times New Roman" w:cs="Times New Roman"/>
          <w:color w:val="000000"/>
          <w:lang w:val="ro-RO"/>
        </w:rPr>
        <w:t>Mai puțin de 10% din aportul total de energie din zaharuri libere</w:t>
      </w:r>
      <w:r>
        <w:rPr>
          <w:rStyle w:val="FootnoteAnchor"/>
          <w:rFonts w:ascii="Times New Roman" w:hAnsi="Times New Roman" w:cs="Times New Roman"/>
          <w:color w:val="000000"/>
          <w:lang w:val="ro-RO"/>
        </w:rPr>
        <w:footnoteReference w:id="4"/>
      </w:r>
      <w:r>
        <w:rPr>
          <w:rFonts w:ascii="Times New Roman" w:hAnsi="Times New Roman" w:cs="Times New Roman"/>
          <w:color w:val="000000"/>
          <w:lang w:val="ro-RO"/>
        </w:rPr>
        <w:t xml:space="preserve">, ceea </w:t>
      </w:r>
      <w:r>
        <w:rPr>
          <w:rFonts w:ascii="Times New Roman" w:hAnsi="Times New Roman" w:cs="Times New Roman"/>
          <w:color w:val="000000"/>
          <w:lang w:val="ro-RO"/>
        </w:rPr>
        <w:t>ce este echivalent cu 50 g, pentru o persoană cu greutate corporală normală care consumă aproximativ 2000 de calorii pe zi, dar în mod ideal mai puțin de 5% din aportul total de energie, pentru beneficii suplimentare pentru sănătate. Zaharurile libere sunt</w:t>
      </w:r>
      <w:r>
        <w:rPr>
          <w:rFonts w:ascii="Times New Roman" w:hAnsi="Times New Roman" w:cs="Times New Roman"/>
          <w:color w:val="000000"/>
          <w:lang w:val="ro-RO"/>
        </w:rPr>
        <w:t xml:space="preserve"> toate zaharurile adăugate în alimente sau băuturi de către producător, bucătar sau consumator, precum și zaharurile prezente în mod natural în miere, siropuri, sucuri de fructe și concentrate de suc de fructe.</w:t>
      </w:r>
    </w:p>
    <w:p w:rsidR="004D1086" w:rsidRDefault="006E0098">
      <w:pPr>
        <w:numPr>
          <w:ilvl w:val="0"/>
          <w:numId w:val="13"/>
        </w:numPr>
        <w:spacing w:after="0" w:line="240" w:lineRule="auto"/>
        <w:jc w:val="both"/>
      </w:pPr>
      <w:r>
        <w:rPr>
          <w:rFonts w:ascii="Times New Roman" w:hAnsi="Times New Roman" w:cs="Times New Roman"/>
          <w:color w:val="000000"/>
          <w:lang w:val="ro-RO"/>
        </w:rPr>
        <w:t>Mai puțin de 30% din aportul total de energie</w:t>
      </w:r>
      <w:r>
        <w:rPr>
          <w:rFonts w:ascii="Times New Roman" w:hAnsi="Times New Roman" w:cs="Times New Roman"/>
          <w:color w:val="000000"/>
          <w:lang w:val="ro-RO"/>
        </w:rPr>
        <w:t xml:space="preserve"> din grăsimi </w:t>
      </w:r>
      <w:r>
        <w:rPr>
          <w:rStyle w:val="FootnoteAnchor"/>
          <w:rFonts w:ascii="Times New Roman" w:hAnsi="Times New Roman" w:cs="Times New Roman"/>
          <w:color w:val="000000"/>
          <w:lang w:val="ro-RO"/>
        </w:rPr>
        <w:footnoteReference w:id="5"/>
      </w:r>
      <w:r>
        <w:rPr>
          <w:rStyle w:val="Emphasis"/>
          <w:rFonts w:ascii="Times New Roman" w:hAnsi="Times New Roman" w:cs="Times New Roman"/>
          <w:color w:val="000000"/>
          <w:lang w:val="ro-RO"/>
        </w:rPr>
        <w:t xml:space="preserve">. </w:t>
      </w:r>
      <w:r>
        <w:rPr>
          <w:rFonts w:ascii="Times New Roman" w:hAnsi="Times New Roman" w:cs="Times New Roman"/>
          <w:color w:val="000000"/>
          <w:lang w:val="ro-RO"/>
        </w:rPr>
        <w:t>Grăsimile nesaturate (se găsesc în pește, avocado, nuci și în uleiurile de floarea soarelui, soia,  și măsline) sunt de preferat grăsimilor saturate (care se găsesc în carnea grasă, unt, ulei de palmier și ulei de cocos, smântână, brânză și</w:t>
      </w:r>
      <w:r>
        <w:rPr>
          <w:rFonts w:ascii="Times New Roman" w:hAnsi="Times New Roman" w:cs="Times New Roman"/>
          <w:color w:val="000000"/>
          <w:lang w:val="ro-RO"/>
        </w:rPr>
        <w:t xml:space="preserve"> untură) și </w:t>
      </w:r>
      <w:r>
        <w:rPr>
          <w:rStyle w:val="Emphasis"/>
          <w:rFonts w:ascii="Times New Roman" w:hAnsi="Times New Roman" w:cs="Times New Roman"/>
          <w:color w:val="000000"/>
          <w:lang w:val="ro-RO"/>
        </w:rPr>
        <w:t xml:space="preserve">trans - </w:t>
      </w:r>
      <w:r>
        <w:rPr>
          <w:rFonts w:ascii="Times New Roman" w:hAnsi="Times New Roman" w:cs="Times New Roman"/>
          <w:color w:val="000000"/>
          <w:lang w:val="ro-RO"/>
        </w:rPr>
        <w:t xml:space="preserve">inclusiv grăsimi </w:t>
      </w:r>
      <w:r>
        <w:rPr>
          <w:rStyle w:val="Emphasis"/>
          <w:rFonts w:ascii="Times New Roman" w:hAnsi="Times New Roman" w:cs="Times New Roman"/>
          <w:color w:val="000000"/>
          <w:lang w:val="ro-RO"/>
        </w:rPr>
        <w:t>trans</w:t>
      </w:r>
      <w:r>
        <w:rPr>
          <w:rFonts w:ascii="Times New Roman" w:hAnsi="Times New Roman" w:cs="Times New Roman"/>
          <w:color w:val="000000"/>
          <w:lang w:val="ro-RO"/>
        </w:rPr>
        <w:t xml:space="preserve"> produse industrial (care se găsesc în alimente coapte și prăjite, gustări și alimente preambalate, cum ar fi pizza congelată, plăcinte, fursecuri, biscuiți, napolitane, tartine) și grăsimi </w:t>
      </w:r>
      <w:r>
        <w:rPr>
          <w:rStyle w:val="Emphasis"/>
          <w:rFonts w:ascii="Times New Roman" w:hAnsi="Times New Roman" w:cs="Times New Roman"/>
          <w:color w:val="000000"/>
          <w:lang w:val="ro-RO"/>
        </w:rPr>
        <w:t>trans</w:t>
      </w:r>
      <w:r>
        <w:rPr>
          <w:rFonts w:ascii="Times New Roman" w:hAnsi="Times New Roman" w:cs="Times New Roman"/>
          <w:color w:val="000000"/>
          <w:lang w:val="ro-RO"/>
        </w:rPr>
        <w:t xml:space="preserve"> provenite de la ru</w:t>
      </w:r>
      <w:r>
        <w:rPr>
          <w:rFonts w:ascii="Times New Roman" w:hAnsi="Times New Roman" w:cs="Times New Roman"/>
          <w:color w:val="000000"/>
          <w:lang w:val="ro-RO"/>
        </w:rPr>
        <w:t xml:space="preserve">megătoare (se găsesc în carne și lactate de la animale rumegătoare, cum ar fi vacile, oile, caprele și cămilele). Se recomandă ca aportul de grăsimi saturate să fie redus la mai puțin de 10% din aportul total de energie și </w:t>
      </w:r>
      <w:r>
        <w:rPr>
          <w:rStyle w:val="Emphasis"/>
          <w:rFonts w:ascii="Times New Roman" w:hAnsi="Times New Roman" w:cs="Times New Roman"/>
          <w:color w:val="000000"/>
          <w:lang w:val="ro-RO"/>
        </w:rPr>
        <w:t>grăsimile trans</w:t>
      </w:r>
      <w:r>
        <w:rPr>
          <w:rFonts w:ascii="Times New Roman" w:hAnsi="Times New Roman" w:cs="Times New Roman"/>
          <w:color w:val="000000"/>
          <w:lang w:val="ro-RO"/>
        </w:rPr>
        <w:t xml:space="preserve"> la mai puțin de 1</w:t>
      </w:r>
      <w:r>
        <w:rPr>
          <w:rFonts w:ascii="Times New Roman" w:hAnsi="Times New Roman" w:cs="Times New Roman"/>
          <w:color w:val="000000"/>
          <w:lang w:val="ro-RO"/>
        </w:rPr>
        <w:t>% din aportul total de energie.</w:t>
      </w:r>
      <w:r>
        <w:rPr>
          <w:rStyle w:val="Emphasis"/>
          <w:rFonts w:ascii="Times New Roman" w:hAnsi="Times New Roman" w:cs="Times New Roman"/>
          <w:i w:val="0"/>
          <w:color w:val="000000"/>
          <w:lang w:val="ro-RO"/>
        </w:rPr>
        <w:t xml:space="preserve"> Grăsimile trans</w:t>
      </w:r>
      <w:r>
        <w:rPr>
          <w:rStyle w:val="Emphasis"/>
          <w:rFonts w:ascii="Times New Roman" w:hAnsi="Times New Roman" w:cs="Times New Roman"/>
          <w:color w:val="000000"/>
          <w:lang w:val="ro-RO"/>
        </w:rPr>
        <w:t xml:space="preserve"> </w:t>
      </w:r>
      <w:r>
        <w:rPr>
          <w:rFonts w:ascii="Times New Roman" w:hAnsi="Times New Roman" w:cs="Times New Roman"/>
          <w:color w:val="000000"/>
          <w:lang w:val="ro-RO"/>
        </w:rPr>
        <w:t>produse industrial nu fac parte dintr-o dietă sănătoasă și ar trebui evitate</w:t>
      </w:r>
      <w:r>
        <w:rPr>
          <w:rStyle w:val="FootnoteAnchor"/>
          <w:rFonts w:ascii="Times New Roman" w:hAnsi="Times New Roman" w:cs="Times New Roman"/>
          <w:color w:val="000000"/>
          <w:lang w:val="ro-RO"/>
        </w:rPr>
        <w:footnoteReference w:id="6"/>
      </w:r>
      <w:r>
        <w:rPr>
          <w:rFonts w:ascii="Times New Roman" w:hAnsi="Times New Roman" w:cs="Times New Roman"/>
          <w:color w:val="000000"/>
          <w:lang w:val="ro-RO"/>
        </w:rPr>
        <w:t>.</w:t>
      </w:r>
    </w:p>
    <w:p w:rsidR="004D1086" w:rsidRDefault="006E0098">
      <w:pPr>
        <w:numPr>
          <w:ilvl w:val="0"/>
          <w:numId w:val="13"/>
        </w:numPr>
        <w:spacing w:after="0" w:line="240" w:lineRule="auto"/>
        <w:jc w:val="both"/>
      </w:pPr>
      <w:r>
        <w:rPr>
          <w:rFonts w:ascii="Times New Roman" w:hAnsi="Times New Roman" w:cs="Times New Roman"/>
          <w:color w:val="000000"/>
          <w:lang w:val="ro-RO"/>
        </w:rPr>
        <w:t>Mai puțin de 5 g de sare (echivalentul a aproximativ o linguriță) pe zi</w:t>
      </w:r>
      <w:r>
        <w:rPr>
          <w:rStyle w:val="FootnoteAnchor"/>
          <w:rFonts w:ascii="Times New Roman" w:hAnsi="Times New Roman" w:cs="Times New Roman"/>
          <w:color w:val="000000"/>
          <w:lang w:val="ro-RO"/>
        </w:rPr>
        <w:footnoteReference w:id="7"/>
      </w:r>
      <w:r>
        <w:rPr>
          <w:rStyle w:val="Emphasis"/>
          <w:rFonts w:ascii="Times New Roman" w:hAnsi="Times New Roman" w:cs="Times New Roman"/>
          <w:color w:val="000000"/>
          <w:lang w:val="ro-RO"/>
        </w:rPr>
        <w:t xml:space="preserve">. </w:t>
      </w:r>
      <w:r>
        <w:rPr>
          <w:rFonts w:ascii="Times New Roman" w:hAnsi="Times New Roman" w:cs="Times New Roman"/>
          <w:color w:val="000000"/>
          <w:lang w:val="ro-RO"/>
        </w:rPr>
        <w:t>Sarea trebuie iodată.</w:t>
      </w:r>
    </w:p>
    <w:p w:rsidR="004D1086" w:rsidRDefault="006E0098">
      <w:pPr>
        <w:pStyle w:val="NormalWeb"/>
        <w:numPr>
          <w:ilvl w:val="0"/>
          <w:numId w:val="13"/>
        </w:numPr>
        <w:spacing w:before="280" w:beforeAutospacing="0" w:after="0" w:afterAutospacing="0"/>
        <w:jc w:val="both"/>
        <w:rPr>
          <w:color w:val="000000"/>
        </w:rPr>
      </w:pPr>
      <w:r>
        <w:rPr>
          <w:color w:val="000000"/>
          <w:sz w:val="22"/>
          <w:szCs w:val="22"/>
        </w:rPr>
        <w:t>Pentru sugari și copii mici:</w:t>
      </w:r>
    </w:p>
    <w:p w:rsidR="004D1086" w:rsidRDefault="006E0098">
      <w:pPr>
        <w:pStyle w:val="NormalWeb"/>
        <w:numPr>
          <w:ilvl w:val="0"/>
          <w:numId w:val="1"/>
        </w:numPr>
        <w:spacing w:before="280" w:beforeAutospacing="0" w:after="0" w:afterAutospacing="0"/>
        <w:jc w:val="both"/>
        <w:rPr>
          <w:color w:val="000000"/>
        </w:rPr>
      </w:pPr>
      <w:r>
        <w:rPr>
          <w:color w:val="000000"/>
          <w:sz w:val="22"/>
          <w:szCs w:val="22"/>
        </w:rPr>
        <w:t>Sfaturile pentru o alimentație sănătoasă pentru sugari și copii sunt similare cu cele pentru adulți, dar următoarele elemente sunt, de asemenea, importante: sugarii trebuie alăptați exclusiv în primele 6 luni de viață; sugarii trebuie alăptați continuu pân</w:t>
      </w:r>
      <w:r>
        <w:rPr>
          <w:color w:val="000000"/>
          <w:sz w:val="22"/>
          <w:szCs w:val="22"/>
        </w:rPr>
        <w:t>ă la vârsta de 2 ani și mai mult</w:t>
      </w:r>
      <w:r>
        <w:rPr>
          <w:color w:val="000000"/>
        </w:rPr>
        <w:t xml:space="preserve">; </w:t>
      </w:r>
      <w:r>
        <w:rPr>
          <w:color w:val="000000"/>
          <w:sz w:val="22"/>
          <w:szCs w:val="22"/>
        </w:rPr>
        <w:t>de la vârsta de 6 luni, laptele matern trebuie completat cu o varietate de alimente adecvate, sigure și bogate în nutrienți. Sarea și zaharurile nu trebuie adăugate în alimentație.</w:t>
      </w:r>
    </w:p>
    <w:p w:rsidR="004D1086" w:rsidRDefault="006E0098">
      <w:pPr>
        <w:spacing w:before="240" w:after="120"/>
        <w:jc w:val="both"/>
        <w:rPr>
          <w:lang w:val="ro-RO"/>
        </w:rPr>
      </w:pPr>
      <w:r>
        <w:rPr>
          <w:rFonts w:ascii="Times New Roman" w:hAnsi="Times New Roman"/>
          <w:lang w:val="ro-RO"/>
        </w:rPr>
        <w:t>Alimentația nesănătoasă este unul din cei</w:t>
      </w:r>
      <w:r>
        <w:rPr>
          <w:rFonts w:ascii="Times New Roman" w:hAnsi="Times New Roman"/>
          <w:lang w:val="ro-RO"/>
        </w:rPr>
        <w:t xml:space="preserve"> patru factori de risc comportamental modificabili (alături de fumat, consum de alcool și inactivitatea fizică), care contribuie la apariția majorității bolilor cronice importante</w:t>
      </w:r>
      <w:r>
        <w:rPr>
          <w:rStyle w:val="FootnoteAnchor"/>
          <w:rFonts w:ascii="Times New Roman" w:hAnsi="Times New Roman"/>
          <w:lang w:val="ro-RO"/>
        </w:rPr>
        <w:footnoteReference w:id="8"/>
      </w:r>
      <w:r>
        <w:rPr>
          <w:rFonts w:ascii="Times New Roman" w:hAnsi="Times New Roman"/>
          <w:lang w:val="ro-RO"/>
        </w:rPr>
        <w:t>.</w:t>
      </w:r>
    </w:p>
    <w:p w:rsidR="004D1086" w:rsidRDefault="006E0098">
      <w:pPr>
        <w:jc w:val="both"/>
        <w:rPr>
          <w:rFonts w:ascii="Times New Roman" w:hAnsi="Times New Roman"/>
          <w:lang w:val="ro-RO"/>
        </w:rPr>
      </w:pPr>
      <w:r>
        <w:rPr>
          <w:rFonts w:ascii="Times New Roman" w:hAnsi="Times New Roman"/>
          <w:lang w:val="ro-RO"/>
        </w:rPr>
        <w:lastRenderedPageBreak/>
        <w:t>Alimentația nesănătoasă generează obezitate la copii, în creștere alarmant</w:t>
      </w:r>
      <w:r>
        <w:rPr>
          <w:rFonts w:ascii="Times New Roman" w:hAnsi="Times New Roman"/>
          <w:lang w:val="ro-RO"/>
        </w:rPr>
        <w:t>ă în Europa și întreaga lume, cu consecințe importante asupra sănătății fizice și mentale a copiilor și un risc semnificativ de multiplicare a bolilor cronice la copii și adulți</w:t>
      </w:r>
      <w:r>
        <w:rPr>
          <w:rStyle w:val="FootnoteAnchor"/>
          <w:rFonts w:ascii="Times New Roman" w:hAnsi="Times New Roman"/>
          <w:lang w:val="ro-RO"/>
        </w:rPr>
        <w:footnoteReference w:id="9"/>
      </w:r>
      <w:r>
        <w:rPr>
          <w:rFonts w:ascii="Times New Roman" w:hAnsi="Times New Roman"/>
          <w:lang w:val="ro-RO"/>
        </w:rPr>
        <w:t>. Dieta nesănătoasă combinată cu inactivitatea fizică crește semnificativ risc</w:t>
      </w:r>
      <w:r>
        <w:rPr>
          <w:rFonts w:ascii="Times New Roman" w:hAnsi="Times New Roman"/>
          <w:lang w:val="ro-RO"/>
        </w:rPr>
        <w:t>ul de boli cronice netransmisibile la adulți: în special boli cardiovasculare (BCV), cancer, hipertensiune arteriala (HTA), obezitate și diabet zaharat de tip 2 (DZ2)</w:t>
      </w:r>
      <w:r>
        <w:rPr>
          <w:rStyle w:val="FootnoteAnchor"/>
          <w:rFonts w:ascii="Times New Roman" w:hAnsi="Times New Roman"/>
          <w:lang w:val="ro-RO"/>
        </w:rPr>
        <w:footnoteReference w:id="10"/>
      </w:r>
      <w:r>
        <w:rPr>
          <w:rFonts w:ascii="Times New Roman" w:hAnsi="Times New Roman"/>
          <w:lang w:val="ro-RO"/>
        </w:rPr>
        <w:t>.</w:t>
      </w:r>
    </w:p>
    <w:p w:rsidR="004D1086" w:rsidRDefault="006E0098">
      <w:pPr>
        <w:pStyle w:val="ecl-page-header-standardiseddescription"/>
        <w:shd w:val="clear" w:color="auto" w:fill="FFFFFF"/>
        <w:spacing w:before="280" w:beforeAutospacing="0" w:after="0" w:afterAutospacing="0"/>
        <w:jc w:val="both"/>
        <w:rPr>
          <w:color w:val="000000"/>
        </w:rPr>
      </w:pPr>
      <w:r>
        <w:rPr>
          <w:color w:val="000000"/>
          <w:sz w:val="22"/>
          <w:szCs w:val="22"/>
        </w:rPr>
        <w:t>Cerealele integrale sunt considerate componente semnificative ale unei diete sănătoase.</w:t>
      </w:r>
      <w:r>
        <w:rPr>
          <w:color w:val="000000"/>
          <w:sz w:val="22"/>
          <w:szCs w:val="22"/>
        </w:rPr>
        <w:t xml:space="preserve"> Consumul de cereale integrale este asociat cu o reducere a riscului de a dezvolta boli netransmisibile</w:t>
      </w:r>
      <w:r>
        <w:rPr>
          <w:rStyle w:val="FootnoteAnchor"/>
          <w:color w:val="000000"/>
          <w:sz w:val="22"/>
          <w:szCs w:val="22"/>
        </w:rPr>
        <w:footnoteReference w:id="11"/>
      </w:r>
      <w:r>
        <w:rPr>
          <w:color w:val="000000"/>
          <w:sz w:val="22"/>
          <w:szCs w:val="22"/>
        </w:rPr>
        <w:t>.</w:t>
      </w:r>
    </w:p>
    <w:p w:rsidR="004D1086" w:rsidRDefault="006E0098">
      <w:pPr>
        <w:pStyle w:val="NormalWeb"/>
        <w:spacing w:before="280" w:after="280"/>
        <w:jc w:val="both"/>
        <w:rPr>
          <w:color w:val="404040"/>
          <w:sz w:val="22"/>
          <w:szCs w:val="22"/>
        </w:rPr>
      </w:pPr>
      <w:r>
        <w:rPr>
          <w:color w:val="000000"/>
          <w:sz w:val="22"/>
          <w:szCs w:val="22"/>
        </w:rPr>
        <w:t>Nu există o definiție oficială a cerealelor integrale și a produselor din cereale integrale  la nivel european. În legislația agricolă a Uniunii Europ</w:t>
      </w:r>
      <w:r>
        <w:rPr>
          <w:color w:val="000000"/>
          <w:sz w:val="22"/>
          <w:szCs w:val="22"/>
        </w:rPr>
        <w:t>ene, boabele integrale sunt denumite „boabe din care a fost</w:t>
      </w:r>
      <w:r>
        <w:rPr>
          <w:color w:val="404040"/>
          <w:sz w:val="22"/>
          <w:szCs w:val="22"/>
        </w:rPr>
        <w:t xml:space="preserve"> </w:t>
      </w:r>
      <w:r>
        <w:rPr>
          <w:color w:val="000000"/>
          <w:sz w:val="22"/>
          <w:szCs w:val="22"/>
        </w:rPr>
        <w:t>îndepărtată</w:t>
      </w:r>
      <w:r>
        <w:rPr>
          <w:color w:val="404040"/>
          <w:sz w:val="22"/>
          <w:szCs w:val="22"/>
        </w:rPr>
        <w:t xml:space="preserve"> </w:t>
      </w:r>
      <w:r>
        <w:rPr>
          <w:color w:val="000000"/>
          <w:sz w:val="22"/>
          <w:szCs w:val="22"/>
        </w:rPr>
        <w:t xml:space="preserve">doar partea din capăt, indiferent de caracteristicile produse în fiecare etapă de măcinare” -Regulamentul UE nr. 1308/2013 al Parlamentului European și al Consiliului din 17 decembrie </w:t>
      </w:r>
      <w:r>
        <w:rPr>
          <w:color w:val="000000"/>
          <w:sz w:val="22"/>
          <w:szCs w:val="22"/>
        </w:rPr>
        <w:t>2013, Regulamentele (CEE) nr. 922/72, (CEE) nr. 234/79, (CE) nr. 1037/2001 și (CE) nr. 1234/2007 ale Consiliului European. Conform Autorității Europene pentru Siguranța Alimentară (</w:t>
      </w:r>
      <w:hyperlink r:id="rId14">
        <w:r>
          <w:rPr>
            <w:rStyle w:val="ecl-linklabel"/>
            <w:rFonts w:eastAsiaTheme="majorEastAsia"/>
            <w:color w:val="000000"/>
            <w:sz w:val="22"/>
            <w:szCs w:val="22"/>
            <w:u w:val="single"/>
          </w:rPr>
          <w:t>EFSA 2010)</w:t>
        </w:r>
      </w:hyperlink>
      <w:r>
        <w:rPr>
          <w:color w:val="000000"/>
          <w:sz w:val="22"/>
          <w:szCs w:val="22"/>
        </w:rPr>
        <w:t xml:space="preserve">), cerealele integrale sunt grâul integral, ovăzul, făina de porumb integrală, orezul brun, orzul integral, secara integrală și hrișca. </w:t>
      </w:r>
    </w:p>
    <w:p w:rsidR="004D1086" w:rsidRDefault="006E0098">
      <w:pPr>
        <w:spacing w:beforeAutospacing="1" w:afterAutospacing="1" w:line="240" w:lineRule="auto"/>
        <w:jc w:val="both"/>
        <w:outlineLvl w:val="1"/>
        <w:rPr>
          <w:color w:val="000000"/>
        </w:rPr>
      </w:pPr>
      <w:r>
        <w:rPr>
          <w:rFonts w:ascii="Times New Roman" w:eastAsia="Times New Roman" w:hAnsi="Times New Roman" w:cs="Times New Roman"/>
          <w:bCs/>
          <w:color w:val="000000"/>
          <w:lang w:val="ro-RO" w:eastAsia="ro-RO"/>
        </w:rPr>
        <w:t>Cerealele sunt aliment</w:t>
      </w:r>
      <w:r>
        <w:rPr>
          <w:rFonts w:ascii="Times New Roman" w:eastAsia="Times New Roman" w:hAnsi="Times New Roman" w:cs="Times New Roman"/>
          <w:bCs/>
          <w:color w:val="000000"/>
          <w:lang w:val="ro-RO" w:eastAsia="ro-RO"/>
        </w:rPr>
        <w:t xml:space="preserve">e de bază și constituie o sursă majoră de carbohidrați, proteine și fibre pentru populația lumii. </w:t>
      </w:r>
      <w:r>
        <w:rPr>
          <w:rFonts w:ascii="Times New Roman" w:eastAsia="Times New Roman" w:hAnsi="Times New Roman" w:cs="Times New Roman"/>
          <w:color w:val="000000"/>
          <w:lang w:val="ro-RO" w:eastAsia="ro-RO"/>
        </w:rPr>
        <w:t>În plus, ele conțin vitamine (vitaminele B), minerale (zinc, fosfor, magneziu, fier), compuși bioactivi (cum ar fi antioxidanții) și alte substanțe fitochimic</w:t>
      </w:r>
      <w:r>
        <w:rPr>
          <w:rFonts w:ascii="Times New Roman" w:eastAsia="Times New Roman" w:hAnsi="Times New Roman" w:cs="Times New Roman"/>
          <w:color w:val="000000"/>
          <w:lang w:val="ro-RO" w:eastAsia="ro-RO"/>
        </w:rPr>
        <w:t>e. Unele dintre efectele benefice ale cerealelor integrale asupra sănătății sunt atribuite conținutului în acești fitonutrienți bioactivi.</w:t>
      </w:r>
    </w:p>
    <w:p w:rsidR="004D1086" w:rsidRDefault="006E0098">
      <w:pPr>
        <w:spacing w:beforeAutospacing="1" w:afterAutospacing="1"/>
        <w:jc w:val="both"/>
        <w:outlineLvl w:val="1"/>
      </w:pPr>
      <w:r>
        <w:rPr>
          <w:rFonts w:ascii="Times New Roman" w:hAnsi="Times New Roman" w:cs="Times New Roman"/>
          <w:color w:val="000000"/>
          <w:lang w:val="ro-RO"/>
        </w:rPr>
        <w:t>Aportul de cereale integrale este probabil asociat cu un risc</w:t>
      </w:r>
      <w:r>
        <w:rPr>
          <w:rFonts w:ascii="Times New Roman" w:hAnsi="Times New Roman"/>
          <w:color w:val="000000"/>
          <w:lang w:val="ro-RO"/>
        </w:rPr>
        <w:t xml:space="preserve"> scăzut de boli cardiovasculare</w:t>
      </w:r>
      <w:r>
        <w:rPr>
          <w:rStyle w:val="Hyperlink"/>
          <w:rFonts w:ascii="Times New Roman" w:hAnsi="Times New Roman"/>
          <w:color w:val="000000"/>
          <w:u w:val="none"/>
          <w:vertAlign w:val="superscript"/>
          <w:lang w:val="ro-RO"/>
        </w:rPr>
        <w:t>13</w:t>
      </w:r>
      <w:r>
        <w:rPr>
          <w:rStyle w:val="Hyperlink"/>
          <w:rFonts w:ascii="Times New Roman" w:hAnsi="Times New Roman"/>
          <w:color w:val="000000"/>
          <w:u w:val="none"/>
          <w:vertAlign w:val="subscript"/>
          <w:lang w:val="ro-RO"/>
        </w:rPr>
        <w:t>.</w:t>
      </w:r>
    </w:p>
    <w:p w:rsidR="004D1086" w:rsidRDefault="006E0098">
      <w:pPr>
        <w:pStyle w:val="Heading2"/>
        <w:spacing w:before="280" w:after="280"/>
        <w:jc w:val="both"/>
        <w:rPr>
          <w:color w:val="000000"/>
        </w:rPr>
      </w:pPr>
      <w:r>
        <w:rPr>
          <w:color w:val="000000"/>
          <w:sz w:val="22"/>
          <w:szCs w:val="22"/>
        </w:rPr>
        <w:t>Recomandări dietetice</w:t>
      </w:r>
      <w:r>
        <w:rPr>
          <w:color w:val="000000"/>
          <w:sz w:val="22"/>
          <w:szCs w:val="22"/>
        </w:rPr>
        <w:t xml:space="preserve"> pentru aportul de cereale integrale:</w:t>
      </w:r>
    </w:p>
    <w:p w:rsidR="004D1086" w:rsidRDefault="006E0098">
      <w:pPr>
        <w:pStyle w:val="NormalWeb"/>
        <w:spacing w:before="280" w:after="280"/>
        <w:jc w:val="both"/>
      </w:pPr>
      <w:r>
        <w:rPr>
          <w:color w:val="000000"/>
          <w:sz w:val="22"/>
          <w:szCs w:val="22"/>
        </w:rPr>
        <w:t>Cerealele integrale, ca grup alimentar, includ cereale integrale ca alimente unice, precum și produse care includ cereale integrale ca ingrediente. De exemplu, o porție (45 g) de orez sălbatic conține 45 g de boabe int</w:t>
      </w:r>
      <w:r>
        <w:rPr>
          <w:color w:val="000000"/>
          <w:sz w:val="22"/>
          <w:szCs w:val="22"/>
        </w:rPr>
        <w:t xml:space="preserve">egrale. În același timp, o porție (70 g) de paste din cereale integrale (55%) conține 40 g de cereale integrale (Administrația Națională </w:t>
      </w:r>
      <w:hyperlink r:id="rId15" w:tgtFrame="Administrația Națională Suedeză pentru Alimentație (2015), Dietary Guidelines-risc and benefits management report Livsmedelsverket National Food Agency (Agenția Națională pentru Alimente)">
        <w:r>
          <w:rPr>
            <w:rStyle w:val="Hyperlink"/>
            <w:color w:val="000000" w:themeColor="text1"/>
            <w:sz w:val="22"/>
            <w:szCs w:val="22"/>
            <w:u w:val="none"/>
          </w:rPr>
          <w:t>Suedeză pentru Alimentație 2015</w:t>
        </w:r>
      </w:hyperlink>
      <w:r>
        <w:rPr>
          <w:color w:val="000000" w:themeColor="text1"/>
          <w:sz w:val="22"/>
          <w:szCs w:val="22"/>
        </w:rPr>
        <w:t>).</w:t>
      </w:r>
    </w:p>
    <w:tbl>
      <w:tblPr>
        <w:tblW w:w="5000" w:type="pct"/>
        <w:jc w:val="center"/>
        <w:tblLayout w:type="fixed"/>
        <w:tblCellMar>
          <w:top w:w="15" w:type="dxa"/>
          <w:left w:w="15" w:type="dxa"/>
          <w:bottom w:w="15" w:type="dxa"/>
          <w:right w:w="15" w:type="dxa"/>
        </w:tblCellMar>
        <w:tblLook w:val="04A0" w:firstRow="1" w:lastRow="0" w:firstColumn="1" w:lastColumn="0" w:noHBand="0" w:noVBand="1"/>
      </w:tblPr>
      <w:tblGrid>
        <w:gridCol w:w="2300"/>
        <w:gridCol w:w="7368"/>
      </w:tblGrid>
      <w:tr w:rsidR="004D1086">
        <w:trPr>
          <w:jc w:val="center"/>
        </w:trPr>
        <w:tc>
          <w:tcPr>
            <w:tcW w:w="2293" w:type="dxa"/>
            <w:vAlign w:val="center"/>
          </w:tcPr>
          <w:p w:rsidR="004D1086" w:rsidRDefault="006E0098">
            <w:pPr>
              <w:pStyle w:val="Heading3"/>
              <w:widowControl w:val="0"/>
              <w:jc w:val="both"/>
              <w:rPr>
                <w:rFonts w:ascii="Times New Roman" w:hAnsi="Times New Roman" w:cs="Times New Roman"/>
                <w:color w:val="404040"/>
                <w:sz w:val="22"/>
                <w:szCs w:val="22"/>
                <w:lang w:val="ro-RO"/>
              </w:rPr>
            </w:pPr>
            <w:r>
              <w:rPr>
                <w:rFonts w:ascii="Times New Roman" w:hAnsi="Times New Roman" w:cs="Times New Roman"/>
                <w:color w:val="404040"/>
                <w:sz w:val="22"/>
                <w:szCs w:val="22"/>
                <w:lang w:val="ro-RO"/>
              </w:rPr>
              <w:t>Sursă</w:t>
            </w:r>
          </w:p>
        </w:tc>
        <w:tc>
          <w:tcPr>
            <w:tcW w:w="7344" w:type="dxa"/>
            <w:vAlign w:val="center"/>
          </w:tcPr>
          <w:p w:rsidR="004D1086" w:rsidRDefault="006E0098">
            <w:pPr>
              <w:pStyle w:val="Heading3"/>
              <w:widowControl w:val="0"/>
              <w:jc w:val="both"/>
              <w:rPr>
                <w:rFonts w:ascii="Times New Roman" w:hAnsi="Times New Roman" w:cs="Times New Roman"/>
                <w:color w:val="000000"/>
                <w:sz w:val="22"/>
                <w:szCs w:val="22"/>
                <w:lang w:val="ro-RO"/>
              </w:rPr>
            </w:pPr>
            <w:r>
              <w:rPr>
                <w:rFonts w:ascii="Times New Roman" w:hAnsi="Times New Roman" w:cs="Times New Roman"/>
                <w:color w:val="000000"/>
                <w:sz w:val="22"/>
                <w:szCs w:val="22"/>
                <w:lang w:val="ro-RO"/>
              </w:rPr>
              <w:t xml:space="preserve">           Recomandări dietetice</w:t>
            </w:r>
          </w:p>
        </w:tc>
      </w:tr>
      <w:tr w:rsidR="004D1086">
        <w:trPr>
          <w:jc w:val="center"/>
        </w:trPr>
        <w:tc>
          <w:tcPr>
            <w:tcW w:w="2293" w:type="dxa"/>
            <w:tcBorders>
              <w:top w:val="single" w:sz="2" w:space="0" w:color="CFCFCF"/>
            </w:tcBorders>
            <w:vAlign w:val="center"/>
          </w:tcPr>
          <w:p w:rsidR="004D1086" w:rsidRDefault="006E0098">
            <w:pPr>
              <w:pStyle w:val="NormalWeb"/>
              <w:widowControl w:val="0"/>
              <w:spacing w:after="0"/>
              <w:jc w:val="both"/>
              <w:rPr>
                <w:color w:val="404040"/>
                <w:sz w:val="22"/>
                <w:szCs w:val="22"/>
              </w:rPr>
            </w:pPr>
            <w:hyperlink r:id="rId16" w:tgtFrame="Orientări dietetice bazate pe alimente în Europa">
              <w:r>
                <w:rPr>
                  <w:rStyle w:val="Hyperlink"/>
                  <w:color w:val="004494"/>
                  <w:sz w:val="22"/>
                  <w:szCs w:val="22"/>
                  <w:u w:val="none"/>
                </w:rPr>
                <w:t>Orientări dietetice bazate pe alimente în Europa</w:t>
              </w:r>
            </w:hyperlink>
          </w:p>
        </w:tc>
        <w:tc>
          <w:tcPr>
            <w:tcW w:w="7344" w:type="dxa"/>
            <w:tcBorders>
              <w:top w:val="single" w:sz="2" w:space="0" w:color="CFCFCF"/>
              <w:bottom w:val="single" w:sz="6" w:space="0" w:color="CFCFCF"/>
            </w:tcBorders>
            <w:vAlign w:val="center"/>
          </w:tcPr>
          <w:p w:rsidR="004D1086" w:rsidRDefault="006E0098">
            <w:pPr>
              <w:widowControl w:val="0"/>
              <w:numPr>
                <w:ilvl w:val="0"/>
                <w:numId w:val="2"/>
              </w:numPr>
              <w:spacing w:beforeAutospacing="1" w:afterAutospacing="1" w:line="240" w:lineRule="auto"/>
              <w:jc w:val="both"/>
              <w:rPr>
                <w:rFonts w:ascii="Times New Roman" w:hAnsi="Times New Roman" w:cs="Times New Roman"/>
                <w:color w:val="000000"/>
                <w:lang w:val="ro-RO"/>
              </w:rPr>
            </w:pPr>
            <w:r>
              <w:rPr>
                <w:rFonts w:ascii="Times New Roman" w:hAnsi="Times New Roman" w:cs="Times New Roman"/>
                <w:color w:val="000000"/>
                <w:lang w:val="ro-RO"/>
              </w:rPr>
              <w:t>Se recomandă cere</w:t>
            </w:r>
            <w:r>
              <w:rPr>
                <w:rFonts w:ascii="Times New Roman" w:hAnsi="Times New Roman" w:cs="Times New Roman"/>
                <w:color w:val="000000"/>
                <w:lang w:val="ro-RO"/>
              </w:rPr>
              <w:t>alele integrale.</w:t>
            </w:r>
          </w:p>
        </w:tc>
      </w:tr>
      <w:tr w:rsidR="004D1086">
        <w:trPr>
          <w:jc w:val="center"/>
        </w:trPr>
        <w:tc>
          <w:tcPr>
            <w:tcW w:w="2293" w:type="dxa"/>
            <w:tcBorders>
              <w:top w:val="single" w:sz="2" w:space="0" w:color="CFCFCF"/>
            </w:tcBorders>
            <w:vAlign w:val="center"/>
          </w:tcPr>
          <w:p w:rsidR="004D1086" w:rsidRDefault="006E0098">
            <w:pPr>
              <w:pStyle w:val="NormalWeb"/>
              <w:widowControl w:val="0"/>
              <w:spacing w:after="0"/>
              <w:jc w:val="both"/>
              <w:rPr>
                <w:color w:val="404040"/>
                <w:sz w:val="22"/>
                <w:szCs w:val="22"/>
              </w:rPr>
            </w:pPr>
            <w:hyperlink r:id="rId17" w:tgtFrame="Administrația Națională Suedeză pentru Alimentație (2015), Dietary Guidelines-risc and benefits management report Livsmedelsverket National Food Agency (Agenția Națională pentru Alimente)">
              <w:r>
                <w:rPr>
                  <w:rStyle w:val="Hyperlink"/>
                  <w:color w:val="004494"/>
                  <w:sz w:val="22"/>
                  <w:szCs w:val="22"/>
                  <w:u w:val="none"/>
                </w:rPr>
                <w:t>Adminis</w:t>
              </w:r>
              <w:r>
                <w:rPr>
                  <w:rStyle w:val="Hyperlink"/>
                  <w:color w:val="004494"/>
                  <w:sz w:val="22"/>
                  <w:szCs w:val="22"/>
                  <w:u w:val="none"/>
                </w:rPr>
                <w:t>trația Națională Suedeză pentru Alimentație 2015</w:t>
              </w:r>
            </w:hyperlink>
          </w:p>
        </w:tc>
        <w:tc>
          <w:tcPr>
            <w:tcW w:w="7344" w:type="dxa"/>
            <w:tcBorders>
              <w:top w:val="single" w:sz="2" w:space="0" w:color="CFCFCF"/>
              <w:bottom w:val="single" w:sz="6" w:space="0" w:color="CFCFCF"/>
            </w:tcBorders>
            <w:vAlign w:val="center"/>
          </w:tcPr>
          <w:p w:rsidR="004D1086" w:rsidRDefault="006E0098">
            <w:pPr>
              <w:widowControl w:val="0"/>
              <w:numPr>
                <w:ilvl w:val="0"/>
                <w:numId w:val="3"/>
              </w:numPr>
              <w:spacing w:beforeAutospacing="1" w:afterAutospacing="1" w:line="240" w:lineRule="auto"/>
              <w:jc w:val="both"/>
              <w:rPr>
                <w:rFonts w:ascii="Times New Roman" w:hAnsi="Times New Roman" w:cs="Times New Roman"/>
                <w:color w:val="000000"/>
                <w:lang w:val="ro-RO"/>
              </w:rPr>
            </w:pPr>
            <w:r>
              <w:rPr>
                <w:rFonts w:ascii="Times New Roman" w:hAnsi="Times New Roman" w:cs="Times New Roman"/>
                <w:color w:val="000000"/>
                <w:lang w:val="ro-RO"/>
              </w:rPr>
              <w:t>Un aport corespunzător la 75 de grame de cereale integrale per 10 MJ este considerat o cantitate adecvată. Aceasta înseamnă aproximativ 70 de grame de cereale integrale pe zi pentru femei și aproximativ 90 d</w:t>
            </w:r>
            <w:r>
              <w:rPr>
                <w:rFonts w:ascii="Times New Roman" w:hAnsi="Times New Roman" w:cs="Times New Roman"/>
                <w:color w:val="000000"/>
                <w:lang w:val="ro-RO"/>
              </w:rPr>
              <w:t>e grame pentru bărbați.</w:t>
            </w:r>
          </w:p>
        </w:tc>
      </w:tr>
      <w:tr w:rsidR="004D1086">
        <w:trPr>
          <w:jc w:val="center"/>
        </w:trPr>
        <w:tc>
          <w:tcPr>
            <w:tcW w:w="2293" w:type="dxa"/>
            <w:tcBorders>
              <w:top w:val="single" w:sz="2" w:space="0" w:color="CFCFCF"/>
            </w:tcBorders>
            <w:vAlign w:val="center"/>
          </w:tcPr>
          <w:p w:rsidR="004D1086" w:rsidRDefault="006E0098">
            <w:pPr>
              <w:pStyle w:val="NormalWeb"/>
              <w:widowControl w:val="0"/>
              <w:spacing w:after="0"/>
              <w:jc w:val="both"/>
              <w:rPr>
                <w:color w:val="404040"/>
                <w:sz w:val="22"/>
                <w:szCs w:val="22"/>
              </w:rPr>
            </w:pPr>
            <w:hyperlink r:id="rId18" w:tgtFrame="Direcția Norvegiană de Sănătate (2014) (accesată la 14.11.2016)">
              <w:r>
                <w:rPr>
                  <w:rStyle w:val="Hyperlink"/>
                  <w:color w:val="004494"/>
                  <w:sz w:val="22"/>
                  <w:szCs w:val="22"/>
                  <w:u w:val="none"/>
                </w:rPr>
                <w:t>Direcția Norvegiană de Sănătate 2014</w:t>
              </w:r>
            </w:hyperlink>
          </w:p>
        </w:tc>
        <w:tc>
          <w:tcPr>
            <w:tcW w:w="7344" w:type="dxa"/>
            <w:tcBorders>
              <w:top w:val="single" w:sz="2" w:space="0" w:color="CFCFCF"/>
              <w:bottom w:val="single" w:sz="6" w:space="0" w:color="CFCFCF"/>
            </w:tcBorders>
            <w:vAlign w:val="center"/>
          </w:tcPr>
          <w:p w:rsidR="004D1086" w:rsidRDefault="006E0098">
            <w:pPr>
              <w:widowControl w:val="0"/>
              <w:numPr>
                <w:ilvl w:val="0"/>
                <w:numId w:val="4"/>
              </w:numPr>
              <w:spacing w:beforeAutospacing="1" w:afterAutospacing="1" w:line="240" w:lineRule="auto"/>
              <w:jc w:val="both"/>
              <w:rPr>
                <w:rFonts w:ascii="Times New Roman" w:hAnsi="Times New Roman" w:cs="Times New Roman"/>
                <w:color w:val="000000"/>
                <w:lang w:val="ro-RO"/>
              </w:rPr>
            </w:pPr>
            <w:r>
              <w:rPr>
                <w:rFonts w:ascii="Times New Roman" w:hAnsi="Times New Roman" w:cs="Times New Roman"/>
                <w:color w:val="000000"/>
                <w:lang w:val="ro-RO"/>
              </w:rPr>
              <w:t>Consumați produse din cere</w:t>
            </w:r>
            <w:r>
              <w:rPr>
                <w:rFonts w:ascii="Times New Roman" w:hAnsi="Times New Roman" w:cs="Times New Roman"/>
                <w:color w:val="000000"/>
                <w:lang w:val="ro-RO"/>
              </w:rPr>
              <w:t>ale integrale în fiecare zi. Aportul de cereale integrale ar trebui să ajungă la 70-90 de grame pe zi.</w:t>
            </w:r>
          </w:p>
        </w:tc>
      </w:tr>
      <w:tr w:rsidR="004D1086">
        <w:trPr>
          <w:jc w:val="center"/>
        </w:trPr>
        <w:tc>
          <w:tcPr>
            <w:tcW w:w="2293" w:type="dxa"/>
            <w:tcBorders>
              <w:top w:val="single" w:sz="2" w:space="0" w:color="CFCFCF"/>
            </w:tcBorders>
            <w:vAlign w:val="center"/>
          </w:tcPr>
          <w:p w:rsidR="004D1086" w:rsidRDefault="006E0098">
            <w:pPr>
              <w:pStyle w:val="NormalWeb"/>
              <w:widowControl w:val="0"/>
              <w:spacing w:after="0"/>
              <w:jc w:val="both"/>
              <w:rPr>
                <w:color w:val="404040"/>
                <w:sz w:val="22"/>
                <w:szCs w:val="22"/>
              </w:rPr>
            </w:pPr>
            <w:hyperlink r:id="rId19" w:tgtFrame="Ghid alimentar danez (2013) De officielle kostråd">
              <w:r>
                <w:rPr>
                  <w:rStyle w:val="Hyperlink"/>
                  <w:color w:val="004494"/>
                  <w:sz w:val="22"/>
                  <w:szCs w:val="22"/>
                  <w:u w:val="none"/>
                </w:rPr>
                <w:t>Orientările daneze privind dieta 2013</w:t>
              </w:r>
            </w:hyperlink>
          </w:p>
        </w:tc>
        <w:tc>
          <w:tcPr>
            <w:tcW w:w="7344" w:type="dxa"/>
            <w:tcBorders>
              <w:top w:val="single" w:sz="2" w:space="0" w:color="CFCFCF"/>
              <w:bottom w:val="single" w:sz="6" w:space="0" w:color="CFCFCF"/>
            </w:tcBorders>
            <w:vAlign w:val="center"/>
          </w:tcPr>
          <w:p w:rsidR="004D1086" w:rsidRDefault="006E0098">
            <w:pPr>
              <w:widowControl w:val="0"/>
              <w:numPr>
                <w:ilvl w:val="0"/>
                <w:numId w:val="5"/>
              </w:numPr>
              <w:spacing w:beforeAutospacing="1" w:afterAutospacing="1" w:line="240" w:lineRule="auto"/>
              <w:jc w:val="both"/>
              <w:rPr>
                <w:rFonts w:ascii="Times New Roman" w:hAnsi="Times New Roman" w:cs="Times New Roman"/>
                <w:color w:val="000000"/>
                <w:lang w:val="ro-RO"/>
              </w:rPr>
            </w:pPr>
            <w:r>
              <w:rPr>
                <w:rFonts w:ascii="Times New Roman" w:hAnsi="Times New Roman" w:cs="Times New Roman"/>
                <w:color w:val="000000"/>
                <w:lang w:val="ro-RO"/>
              </w:rPr>
              <w:t>Consumați cel puțin 75 de grame de cereale integrale pe zi.</w:t>
            </w:r>
          </w:p>
        </w:tc>
      </w:tr>
      <w:tr w:rsidR="004D1086">
        <w:trPr>
          <w:jc w:val="center"/>
        </w:trPr>
        <w:tc>
          <w:tcPr>
            <w:tcW w:w="2293" w:type="dxa"/>
            <w:tcBorders>
              <w:top w:val="single" w:sz="2" w:space="0" w:color="CFCFCF"/>
            </w:tcBorders>
            <w:vAlign w:val="center"/>
          </w:tcPr>
          <w:p w:rsidR="004D1086" w:rsidRDefault="006E0098">
            <w:pPr>
              <w:pStyle w:val="NormalWeb"/>
              <w:widowControl w:val="0"/>
              <w:spacing w:after="0"/>
              <w:jc w:val="both"/>
              <w:rPr>
                <w:color w:val="404040"/>
                <w:sz w:val="22"/>
                <w:szCs w:val="22"/>
              </w:rPr>
            </w:pPr>
            <w:hyperlink r:id="rId20" w:tgtFrame="DGE (2012) Deutsche Gesellschaft für Ernährung, Orientare bazată pe dovezi a Societății Germane de Nutriție: Consumul de carbohidrați și prevenirea bolilor legate de nutriție. Ann Nutr Metab (2012);60(suppl1):1-58">
              <w:r>
                <w:rPr>
                  <w:rStyle w:val="Hyperlink"/>
                  <w:color w:val="004494"/>
                  <w:sz w:val="22"/>
                  <w:szCs w:val="22"/>
                  <w:u w:val="none"/>
                </w:rPr>
                <w:t>DGE 2012</w:t>
              </w:r>
            </w:hyperlink>
          </w:p>
        </w:tc>
        <w:tc>
          <w:tcPr>
            <w:tcW w:w="7344" w:type="dxa"/>
            <w:tcBorders>
              <w:top w:val="single" w:sz="2" w:space="0" w:color="CFCFCF"/>
              <w:bottom w:val="single" w:sz="6" w:space="0" w:color="CFCFCF"/>
            </w:tcBorders>
            <w:vAlign w:val="center"/>
          </w:tcPr>
          <w:p w:rsidR="004D1086" w:rsidRDefault="006E0098">
            <w:pPr>
              <w:widowControl w:val="0"/>
              <w:numPr>
                <w:ilvl w:val="0"/>
                <w:numId w:val="6"/>
              </w:numPr>
              <w:spacing w:beforeAutospacing="1" w:afterAutospacing="1" w:line="240" w:lineRule="auto"/>
              <w:jc w:val="both"/>
              <w:rPr>
                <w:rFonts w:ascii="Times New Roman" w:hAnsi="Times New Roman" w:cs="Times New Roman"/>
                <w:color w:val="000000"/>
                <w:lang w:val="ro-RO"/>
              </w:rPr>
            </w:pPr>
            <w:r>
              <w:rPr>
                <w:rFonts w:ascii="Times New Roman" w:hAnsi="Times New Roman" w:cs="Times New Roman"/>
                <w:color w:val="000000"/>
                <w:lang w:val="ro-RO"/>
              </w:rPr>
              <w:t>Aportul total de fibre dietetice și, în special, aportul de produse din cereale integrale, care sunt alimente</w:t>
            </w:r>
            <w:r>
              <w:rPr>
                <w:rFonts w:ascii="Times New Roman" w:hAnsi="Times New Roman" w:cs="Times New Roman"/>
                <w:color w:val="000000"/>
                <w:lang w:val="ro-RO"/>
              </w:rPr>
              <w:t xml:space="preserve"> bogate în fibre dietetice, ar trebui să crească deoarece acest lucru reduce riscul diferitelor boli legate de nutriție.</w:t>
            </w:r>
          </w:p>
        </w:tc>
      </w:tr>
      <w:tr w:rsidR="004D1086">
        <w:trPr>
          <w:jc w:val="center"/>
        </w:trPr>
        <w:tc>
          <w:tcPr>
            <w:tcW w:w="2293" w:type="dxa"/>
            <w:tcBorders>
              <w:top w:val="single" w:sz="2" w:space="0" w:color="CFCFCF"/>
            </w:tcBorders>
            <w:vAlign w:val="center"/>
          </w:tcPr>
          <w:p w:rsidR="004D1086" w:rsidRDefault="006E0098">
            <w:pPr>
              <w:pStyle w:val="NormalWeb"/>
              <w:widowControl w:val="0"/>
              <w:spacing w:after="0"/>
              <w:jc w:val="both"/>
              <w:rPr>
                <w:color w:val="404040"/>
                <w:sz w:val="22"/>
                <w:szCs w:val="22"/>
              </w:rPr>
            </w:pPr>
            <w:hyperlink r:id="rId21" w:anchor="_blank" w:history="1">
              <w:r>
                <w:rPr>
                  <w:rStyle w:val="Hyperlink"/>
                  <w:color w:val="004494"/>
                  <w:sz w:val="22"/>
                  <w:szCs w:val="22"/>
                  <w:u w:val="none"/>
                </w:rPr>
                <w:t>AHA 2016</w:t>
              </w:r>
            </w:hyperlink>
          </w:p>
        </w:tc>
        <w:tc>
          <w:tcPr>
            <w:tcW w:w="7344" w:type="dxa"/>
            <w:tcBorders>
              <w:top w:val="single" w:sz="2" w:space="0" w:color="CFCFCF"/>
              <w:bottom w:val="single" w:sz="6" w:space="0" w:color="CFCFCF"/>
            </w:tcBorders>
            <w:vAlign w:val="center"/>
          </w:tcPr>
          <w:p w:rsidR="004D1086" w:rsidRDefault="006E0098">
            <w:pPr>
              <w:widowControl w:val="0"/>
              <w:numPr>
                <w:ilvl w:val="0"/>
                <w:numId w:val="7"/>
              </w:numPr>
              <w:spacing w:beforeAutospacing="1" w:afterAutospacing="1" w:line="240" w:lineRule="auto"/>
              <w:jc w:val="both"/>
              <w:rPr>
                <w:rFonts w:ascii="Times New Roman" w:hAnsi="Times New Roman" w:cs="Times New Roman"/>
                <w:color w:val="000000"/>
                <w:lang w:val="ro-RO"/>
              </w:rPr>
            </w:pPr>
            <w:r>
              <w:rPr>
                <w:rFonts w:ascii="Times New Roman" w:hAnsi="Times New Roman" w:cs="Times New Roman"/>
                <w:color w:val="000000"/>
                <w:lang w:val="ro-RO"/>
              </w:rPr>
              <w:t xml:space="preserve">Cel puțin jumătate din cerealele consumate ar trebui să fie cereale </w:t>
            </w:r>
            <w:r>
              <w:rPr>
                <w:rFonts w:ascii="Times New Roman" w:hAnsi="Times New Roman" w:cs="Times New Roman"/>
                <w:color w:val="000000"/>
                <w:lang w:val="ro-RO"/>
              </w:rPr>
              <w:lastRenderedPageBreak/>
              <w:t>integrale.</w:t>
            </w:r>
          </w:p>
        </w:tc>
      </w:tr>
      <w:tr w:rsidR="004D1086">
        <w:trPr>
          <w:jc w:val="center"/>
        </w:trPr>
        <w:tc>
          <w:tcPr>
            <w:tcW w:w="2293" w:type="dxa"/>
            <w:tcBorders>
              <w:top w:val="single" w:sz="2" w:space="0" w:color="CFCFCF"/>
            </w:tcBorders>
            <w:vAlign w:val="center"/>
          </w:tcPr>
          <w:p w:rsidR="004D1086" w:rsidRDefault="006E0098">
            <w:pPr>
              <w:pStyle w:val="NormalWeb"/>
              <w:widowControl w:val="0"/>
              <w:spacing w:after="280"/>
              <w:jc w:val="both"/>
              <w:rPr>
                <w:color w:val="404040"/>
                <w:sz w:val="22"/>
                <w:szCs w:val="22"/>
              </w:rPr>
            </w:pPr>
            <w:hyperlink r:id="rId22" w:tgtFrame="DGA (2015) Orientări dietetice pentru americani, Departamentul de Sănătate și Servicii Umane din S.U.A. și Departamentul Agriculturii din SUA. Orientări dietetice pentru americani pentru perioada 2015-2020.">
              <w:r>
                <w:rPr>
                  <w:rStyle w:val="Hyperlink"/>
                  <w:color w:val="004494"/>
                  <w:sz w:val="22"/>
                  <w:szCs w:val="22"/>
                  <w:u w:val="none"/>
                </w:rPr>
                <w:t>DGA 2015</w:t>
              </w:r>
            </w:hyperlink>
          </w:p>
          <w:p w:rsidR="004D1086" w:rsidRDefault="006E0098">
            <w:pPr>
              <w:pStyle w:val="NormalWeb"/>
              <w:widowControl w:val="0"/>
              <w:spacing w:before="280" w:after="0"/>
              <w:jc w:val="both"/>
              <w:rPr>
                <w:color w:val="404040"/>
                <w:sz w:val="22"/>
                <w:szCs w:val="22"/>
              </w:rPr>
            </w:pPr>
            <w:hyperlink r:id="rId23" w:tgtFrame="DGAC (2015), Comitetul consultativ pentru orientări dietetice, raport științific">
              <w:r>
                <w:rPr>
                  <w:rStyle w:val="Hyperlink"/>
                  <w:color w:val="004494"/>
                  <w:sz w:val="22"/>
                  <w:szCs w:val="22"/>
                  <w:u w:val="none"/>
                </w:rPr>
                <w:t>DGAC 2015</w:t>
              </w:r>
            </w:hyperlink>
          </w:p>
        </w:tc>
        <w:tc>
          <w:tcPr>
            <w:tcW w:w="7344" w:type="dxa"/>
            <w:tcBorders>
              <w:top w:val="single" w:sz="2" w:space="0" w:color="CFCFCF"/>
              <w:bottom w:val="single" w:sz="6" w:space="0" w:color="CFCFCF"/>
            </w:tcBorders>
            <w:vAlign w:val="center"/>
          </w:tcPr>
          <w:p w:rsidR="004D1086" w:rsidRDefault="006E0098">
            <w:pPr>
              <w:widowControl w:val="0"/>
              <w:numPr>
                <w:ilvl w:val="0"/>
                <w:numId w:val="8"/>
              </w:numPr>
              <w:spacing w:beforeAutospacing="1" w:after="0" w:line="240" w:lineRule="auto"/>
              <w:jc w:val="both"/>
              <w:rPr>
                <w:rFonts w:ascii="Times New Roman" w:hAnsi="Times New Roman" w:cs="Times New Roman"/>
                <w:color w:val="000000"/>
                <w:lang w:val="ro-RO"/>
              </w:rPr>
            </w:pPr>
            <w:r>
              <w:rPr>
                <w:rFonts w:ascii="Times New Roman" w:hAnsi="Times New Roman" w:cs="Times New Roman"/>
                <w:color w:val="000000"/>
                <w:lang w:val="ro-RO"/>
              </w:rPr>
              <w:t>Pentru a îmbunătăți calitatea dietei, populația americană ar trebui să înlocuiască cerealele rafinate cu cereale integrale.</w:t>
            </w:r>
          </w:p>
          <w:p w:rsidR="004D1086" w:rsidRDefault="006E0098">
            <w:pPr>
              <w:widowControl w:val="0"/>
              <w:numPr>
                <w:ilvl w:val="0"/>
                <w:numId w:val="8"/>
              </w:numPr>
              <w:spacing w:afterAutospacing="1" w:line="240" w:lineRule="auto"/>
              <w:jc w:val="both"/>
              <w:rPr>
                <w:rFonts w:ascii="Times New Roman" w:hAnsi="Times New Roman" w:cs="Times New Roman"/>
                <w:color w:val="000000"/>
                <w:lang w:val="ro-RO"/>
              </w:rPr>
            </w:pPr>
            <w:r>
              <w:rPr>
                <w:rFonts w:ascii="Times New Roman" w:hAnsi="Times New Roman" w:cs="Times New Roman"/>
                <w:color w:val="000000"/>
                <w:lang w:val="ro-RO"/>
              </w:rPr>
              <w:t>Cantitatea zilnică recomandată de cereale integrale în ceea ce privește un</w:t>
            </w:r>
            <w:r>
              <w:rPr>
                <w:rFonts w:ascii="Times New Roman" w:hAnsi="Times New Roman" w:cs="Times New Roman"/>
                <w:color w:val="000000"/>
                <w:lang w:val="ro-RO"/>
              </w:rPr>
              <w:t xml:space="preserve"> model sănătos de alimentație în stil american la nivelul de 2000 calorii este de 3 uncii echivalent (85 g).</w:t>
            </w:r>
          </w:p>
        </w:tc>
      </w:tr>
    </w:tbl>
    <w:p w:rsidR="004D1086" w:rsidRDefault="006E0098">
      <w:pPr>
        <w:pStyle w:val="NormalWeb"/>
        <w:spacing w:before="280" w:after="280"/>
        <w:jc w:val="both"/>
        <w:rPr>
          <w:color w:val="000000"/>
        </w:rPr>
      </w:pPr>
      <w:r>
        <w:rPr>
          <w:color w:val="000000"/>
          <w:sz w:val="22"/>
          <w:szCs w:val="22"/>
        </w:rPr>
        <w:t>Datele privind consumul de cereale integrale în  Europa sunt limitate. Acest lucru s-ar putea datora faptului că cerealele integrale nu au o defin</w:t>
      </w:r>
      <w:r>
        <w:rPr>
          <w:color w:val="000000"/>
          <w:sz w:val="22"/>
          <w:szCs w:val="22"/>
        </w:rPr>
        <w:t>iție coerentă în întreaga Europă, dar și pentru că multe studii limitează domeniul lor de aplicare la aportul de fibre și nu de cereale integrale ca grup alimentar.</w:t>
      </w:r>
    </w:p>
    <w:p w:rsidR="004D1086" w:rsidRDefault="006E0098">
      <w:pPr>
        <w:pStyle w:val="NormalWeb"/>
        <w:spacing w:before="280" w:after="0"/>
        <w:jc w:val="both"/>
        <w:rPr>
          <w:color w:val="404040"/>
          <w:sz w:val="22"/>
          <w:szCs w:val="22"/>
          <w:u w:val="single"/>
        </w:rPr>
      </w:pPr>
      <w:r>
        <w:rPr>
          <w:color w:val="000000"/>
          <w:sz w:val="22"/>
          <w:szCs w:val="22"/>
        </w:rPr>
        <w:t>Din cauza acestei lipse de date privind aportul, Tabelul de mai sus prezintă datele incluse</w:t>
      </w:r>
      <w:r>
        <w:rPr>
          <w:color w:val="000000"/>
          <w:sz w:val="22"/>
          <w:szCs w:val="22"/>
        </w:rPr>
        <w:t xml:space="preserve"> în baza de date dietetică globală (GDD) pentru aportul de cereale integrale (</w:t>
      </w:r>
      <w:hyperlink r:id="rId24" w:tgtFrame="e008705.">
        <w:r>
          <w:rPr>
            <w:rStyle w:val="ecl-linklabel"/>
            <w:rFonts w:eastAsiaTheme="majorEastAsia"/>
            <w:color w:val="000000"/>
            <w:sz w:val="22"/>
            <w:szCs w:val="22"/>
            <w:u w:val="single"/>
          </w:rPr>
          <w:t>Micha et al 2015</w:t>
        </w:r>
      </w:hyperlink>
      <w:r>
        <w:rPr>
          <w:color w:val="000000"/>
          <w:sz w:val="22"/>
          <w:szCs w:val="22"/>
        </w:rPr>
        <w:t>). Datele GDD provin de la</w:t>
      </w:r>
      <w:r>
        <w:rPr>
          <w:color w:val="404040"/>
          <w:sz w:val="22"/>
          <w:szCs w:val="22"/>
        </w:rPr>
        <w:t xml:space="preserve"> </w:t>
      </w:r>
      <w:r>
        <w:rPr>
          <w:color w:val="000000"/>
          <w:sz w:val="22"/>
          <w:szCs w:val="22"/>
        </w:rPr>
        <w:t>guverne sau ministere ale sănătăți</w:t>
      </w:r>
      <w:r>
        <w:rPr>
          <w:color w:val="000000"/>
          <w:sz w:val="22"/>
          <w:szCs w:val="22"/>
        </w:rPr>
        <w:t>i, cercetători și proiectul NutriCoDE din 2010 și includ aportul de alimente din cereale integrale, cum ar fi cereale pentru micul dejun, pâine, orez, paste făinoase, biscuiți, brioșe, tortilla, clătite etc. Un aliment din cereale integrale este definit ca</w:t>
      </w:r>
      <w:r>
        <w:rPr>
          <w:color w:val="000000"/>
          <w:sz w:val="22"/>
          <w:szCs w:val="22"/>
        </w:rPr>
        <w:t xml:space="preserve"> un aliment cu ≥1,0 g de fibre per 10 g de carbohidrați (</w:t>
      </w:r>
      <w:hyperlink r:id="rId25" w:tgtFrame="GDD (2016) Global Nutrition and Policy Consortium Global Dietary Database (accesată la 14.11.2016)">
        <w:r>
          <w:rPr>
            <w:rStyle w:val="ecl-linklabel"/>
            <w:rFonts w:eastAsiaTheme="majorEastAsia"/>
            <w:color w:val="000000"/>
            <w:sz w:val="22"/>
            <w:szCs w:val="22"/>
          </w:rPr>
          <w:t>GDD 20</w:t>
        </w:r>
        <w:r>
          <w:rPr>
            <w:rStyle w:val="ecl-linklabel"/>
            <w:rFonts w:eastAsiaTheme="majorEastAsia"/>
            <w:color w:val="000000"/>
            <w:sz w:val="22"/>
            <w:szCs w:val="22"/>
          </w:rPr>
          <w:t>16</w:t>
        </w:r>
      </w:hyperlink>
      <w:r>
        <w:rPr>
          <w:color w:val="000000"/>
          <w:sz w:val="22"/>
          <w:szCs w:val="22"/>
        </w:rPr>
        <w:t>).</w:t>
      </w:r>
    </w:p>
    <w:p w:rsidR="004D1086" w:rsidRDefault="006E0098">
      <w:pPr>
        <w:pStyle w:val="NormalWeb"/>
        <w:spacing w:after="280"/>
        <w:jc w:val="both"/>
        <w:rPr>
          <w:color w:val="000000"/>
        </w:rPr>
      </w:pPr>
      <w:r>
        <w:rPr>
          <w:color w:val="000000"/>
          <w:sz w:val="22"/>
          <w:szCs w:val="22"/>
        </w:rPr>
        <w:t>Deoarece este posibil ca datele privind aportul de cereale integrale să nu fie disponibile pentru toate țările sau toate grupele de vârstă, grupul de studiu GDD a elaborat metode de imputare a datelor Aceste rezerve afectează citirea și comparabilitat</w:t>
      </w:r>
      <w:r>
        <w:rPr>
          <w:color w:val="000000"/>
          <w:sz w:val="22"/>
          <w:szCs w:val="22"/>
        </w:rPr>
        <w:t>ea datelor prezentate în tabelul de mai jos</w:t>
      </w:r>
      <w:r>
        <w:rPr>
          <w:rStyle w:val="FootnoteAnchor"/>
          <w:color w:val="000000"/>
          <w:sz w:val="22"/>
          <w:szCs w:val="22"/>
        </w:rPr>
        <w:footnoteReference w:id="12"/>
      </w:r>
      <w:r>
        <w:rPr>
          <w:color w:val="000000"/>
          <w:sz w:val="22"/>
          <w:szCs w:val="22"/>
        </w:rPr>
        <w:t>.</w:t>
      </w:r>
    </w:p>
    <w:p w:rsidR="004D1086" w:rsidRDefault="006E0098">
      <w:pPr>
        <w:pStyle w:val="Heading2"/>
        <w:spacing w:before="280" w:after="280"/>
        <w:jc w:val="both"/>
        <w:rPr>
          <w:color w:val="000000"/>
        </w:rPr>
      </w:pPr>
      <w:r>
        <w:rPr>
          <w:color w:val="000000"/>
          <w:sz w:val="22"/>
          <w:szCs w:val="22"/>
        </w:rPr>
        <w:t>Prezentare generală a aportului de cereale integrale în țările europene:</w:t>
      </w:r>
    </w:p>
    <w:p w:rsidR="004D1086" w:rsidRDefault="006E0098">
      <w:pPr>
        <w:pStyle w:val="NormalWeb"/>
        <w:spacing w:before="280" w:after="280"/>
        <w:jc w:val="both"/>
        <w:rPr>
          <w:color w:val="000000"/>
        </w:rPr>
      </w:pPr>
      <w:bookmarkStart w:id="1" w:name="_Toc488662376"/>
      <w:bookmarkStart w:id="2" w:name="_Toc479239828"/>
      <w:bookmarkEnd w:id="1"/>
      <w:bookmarkEnd w:id="2"/>
      <w:r>
        <w:rPr>
          <w:color w:val="000000"/>
          <w:sz w:val="22"/>
          <w:szCs w:val="22"/>
        </w:rPr>
        <w:t xml:space="preserve">Aportul se bazează pe datele din baza de date dietetică globală. Aportul total de cereale integrale include cereale pentru micul dejun, </w:t>
      </w:r>
      <w:r>
        <w:rPr>
          <w:color w:val="000000"/>
          <w:sz w:val="22"/>
          <w:szCs w:val="22"/>
        </w:rPr>
        <w:t>pâine, orez, paste făinoase, biscuiți, brioșe, tortilla, clătite etc.</w:t>
      </w:r>
    </w:p>
    <w:p w:rsidR="004D1086" w:rsidRDefault="006E0098">
      <w:pPr>
        <w:pStyle w:val="Heading4"/>
        <w:jc w:val="both"/>
        <w:rPr>
          <w:color w:val="000000"/>
        </w:rPr>
      </w:pPr>
      <w:r>
        <w:rPr>
          <w:rFonts w:ascii="Times New Roman" w:hAnsi="Times New Roman" w:cs="Times New Roman"/>
          <w:color w:val="000000"/>
          <w:lang w:val="ro-RO"/>
        </w:rPr>
        <w:t>Consumul mediu zilnic de alimente din cereale integrale (g/zi):</w:t>
      </w:r>
    </w:p>
    <w:tbl>
      <w:tblPr>
        <w:tblW w:w="5000" w:type="pct"/>
        <w:jc w:val="center"/>
        <w:tblLayout w:type="fixed"/>
        <w:tblCellMar>
          <w:top w:w="15" w:type="dxa"/>
          <w:left w:w="15" w:type="dxa"/>
          <w:bottom w:w="15" w:type="dxa"/>
          <w:right w:w="15" w:type="dxa"/>
        </w:tblCellMar>
        <w:tblLook w:val="04A0" w:firstRow="1" w:lastRow="0" w:firstColumn="1" w:lastColumn="0" w:noHBand="0" w:noVBand="1"/>
      </w:tblPr>
      <w:tblGrid>
        <w:gridCol w:w="4070"/>
        <w:gridCol w:w="2798"/>
        <w:gridCol w:w="2800"/>
      </w:tblGrid>
      <w:tr w:rsidR="004D1086">
        <w:trPr>
          <w:tblHeader/>
          <w:jc w:val="center"/>
        </w:trPr>
        <w:tc>
          <w:tcPr>
            <w:tcW w:w="4058" w:type="dxa"/>
            <w:shd w:val="clear" w:color="auto" w:fill="F2F5F9"/>
            <w:vAlign w:val="bottom"/>
          </w:tcPr>
          <w:p w:rsidR="004D1086" w:rsidRDefault="006E0098">
            <w:pPr>
              <w:pStyle w:val="Heading4"/>
              <w:widowControl w:val="0"/>
              <w:jc w:val="both"/>
              <w:rPr>
                <w:rFonts w:ascii="Times New Roman" w:hAnsi="Times New Roman" w:cs="Times New Roman"/>
                <w:color w:val="404040"/>
                <w:lang w:val="ro-RO"/>
              </w:rPr>
            </w:pPr>
            <w:r>
              <w:rPr>
                <w:rFonts w:ascii="Times New Roman" w:hAnsi="Times New Roman" w:cs="Times New Roman"/>
                <w:color w:val="404040"/>
                <w:lang w:val="ro-RO"/>
              </w:rPr>
              <w:t>Ț</w:t>
            </w:r>
            <w:r>
              <w:rPr>
                <w:rFonts w:ascii="Times New Roman" w:hAnsi="Times New Roman" w:cs="Times New Roman"/>
                <w:color w:val="404040"/>
                <w:lang w:val="ro-RO"/>
              </w:rPr>
              <w:t>ară</w:t>
            </w:r>
          </w:p>
        </w:tc>
        <w:tc>
          <w:tcPr>
            <w:tcW w:w="2789" w:type="dxa"/>
            <w:shd w:val="clear" w:color="auto" w:fill="F2F5F9"/>
            <w:vAlign w:val="bottom"/>
          </w:tcPr>
          <w:p w:rsidR="004D1086" w:rsidRDefault="006E0098">
            <w:pPr>
              <w:pStyle w:val="Heading4"/>
              <w:widowControl w:val="0"/>
              <w:jc w:val="both"/>
              <w:rPr>
                <w:rFonts w:ascii="Times New Roman" w:hAnsi="Times New Roman" w:cs="Times New Roman"/>
                <w:color w:val="404040"/>
                <w:lang w:val="ro-RO"/>
              </w:rPr>
            </w:pPr>
            <w:r>
              <w:rPr>
                <w:rFonts w:ascii="Times New Roman" w:hAnsi="Times New Roman" w:cs="Times New Roman"/>
                <w:color w:val="404040"/>
                <w:lang w:val="ro-RO"/>
              </w:rPr>
              <w:t>Bărbați</w:t>
            </w:r>
          </w:p>
        </w:tc>
        <w:tc>
          <w:tcPr>
            <w:tcW w:w="2791" w:type="dxa"/>
            <w:shd w:val="clear" w:color="auto" w:fill="F2F5F9"/>
            <w:vAlign w:val="bottom"/>
          </w:tcPr>
          <w:p w:rsidR="004D1086" w:rsidRDefault="006E0098">
            <w:pPr>
              <w:pStyle w:val="Heading4"/>
              <w:widowControl w:val="0"/>
              <w:jc w:val="both"/>
              <w:rPr>
                <w:rFonts w:ascii="Times New Roman" w:hAnsi="Times New Roman" w:cs="Times New Roman"/>
                <w:color w:val="404040"/>
                <w:lang w:val="ro-RO"/>
              </w:rPr>
            </w:pPr>
            <w:r>
              <w:rPr>
                <w:rFonts w:ascii="Times New Roman" w:hAnsi="Times New Roman" w:cs="Times New Roman"/>
                <w:color w:val="404040"/>
                <w:lang w:val="ro-RO"/>
              </w:rPr>
              <w:t>Femei</w:t>
            </w:r>
          </w:p>
        </w:tc>
      </w:tr>
      <w:tr w:rsidR="004D1086">
        <w:trPr>
          <w:jc w:val="center"/>
        </w:trPr>
        <w:tc>
          <w:tcPr>
            <w:tcW w:w="4058" w:type="dxa"/>
            <w:tcBorders>
              <w:top w:val="single" w:sz="2" w:space="0" w:color="CFCFCF"/>
            </w:tcBorders>
            <w:vAlign w:val="center"/>
          </w:tcPr>
          <w:p w:rsidR="004D1086" w:rsidRDefault="004D1086">
            <w:pPr>
              <w:widowControl w:val="0"/>
              <w:jc w:val="both"/>
              <w:rPr>
                <w:rFonts w:ascii="Times New Roman" w:hAnsi="Times New Roman" w:cs="Times New Roman"/>
                <w:color w:val="404040"/>
                <w:lang w:val="ro-RO"/>
              </w:rPr>
            </w:pPr>
          </w:p>
        </w:tc>
        <w:tc>
          <w:tcPr>
            <w:tcW w:w="2789" w:type="dxa"/>
            <w:tcBorders>
              <w:top w:val="single" w:sz="2" w:space="0" w:color="CFCFCF"/>
            </w:tcBorders>
            <w:vAlign w:val="center"/>
          </w:tcPr>
          <w:p w:rsidR="004D1086" w:rsidRDefault="006E0098">
            <w:pPr>
              <w:widowControl w:val="0"/>
              <w:jc w:val="both"/>
            </w:pPr>
            <w:r>
              <w:rPr>
                <w:rFonts w:ascii="Times New Roman" w:hAnsi="Times New Roman" w:cs="Times New Roman"/>
                <w:color w:val="000000"/>
                <w:lang w:val="ro-RO"/>
              </w:rPr>
              <w:t>≥</w:t>
            </w:r>
            <w:r>
              <w:rPr>
                <w:rStyle w:val="Strong"/>
                <w:rFonts w:ascii="Times New Roman" w:hAnsi="Times New Roman" w:cs="Times New Roman"/>
                <w:color w:val="000000"/>
                <w:lang w:val="ro-RO"/>
              </w:rPr>
              <w:t> 20 de ani</w:t>
            </w:r>
          </w:p>
        </w:tc>
        <w:tc>
          <w:tcPr>
            <w:tcW w:w="2791" w:type="dxa"/>
            <w:tcBorders>
              <w:top w:val="single" w:sz="2" w:space="0" w:color="CFCFCF"/>
              <w:bottom w:val="single" w:sz="6" w:space="0" w:color="CFCFCF"/>
            </w:tcBorders>
            <w:vAlign w:val="center"/>
          </w:tcPr>
          <w:p w:rsidR="004D1086" w:rsidRDefault="006E0098">
            <w:pPr>
              <w:widowControl w:val="0"/>
              <w:jc w:val="both"/>
            </w:pPr>
            <w:r>
              <w:rPr>
                <w:rFonts w:ascii="Times New Roman" w:hAnsi="Times New Roman" w:cs="Times New Roman"/>
                <w:color w:val="000000"/>
                <w:lang w:val="ro-RO"/>
              </w:rPr>
              <w:t>≥</w:t>
            </w:r>
            <w:r>
              <w:rPr>
                <w:rStyle w:val="Strong"/>
                <w:rFonts w:ascii="Times New Roman" w:hAnsi="Times New Roman" w:cs="Times New Roman"/>
                <w:color w:val="000000"/>
                <w:lang w:val="ro-RO"/>
              </w:rPr>
              <w:t> 20 de ani</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Belgia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11.7</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12.2</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Bulgaria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24</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25.7</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Republica Cehă</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14.9</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15.6</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Danemarca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72.1</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74.2</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Germania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127.4</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132.6</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Estonia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23.6</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25.9</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Irlanda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63.9</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65.4</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Grecia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64.1</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66.3</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Spania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12</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12.6</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Franța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37.9</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39.3</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lastRenderedPageBreak/>
              <w:t>Croația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2.8</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2.9</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Italia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11.6</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12.2</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Cipru</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30.4</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31.5</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Letonia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23.7</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25.9</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Lituania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21.3</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22.6</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Luxemburg</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65.6</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67</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Ungaria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1.3</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1.4</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Malta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66.1</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69</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Ț</w:t>
            </w:r>
            <w:r>
              <w:rPr>
                <w:rStyle w:val="Strong"/>
                <w:rFonts w:ascii="Times New Roman" w:hAnsi="Times New Roman" w:cs="Times New Roman"/>
                <w:color w:val="404040"/>
                <w:lang w:val="ro-RO"/>
              </w:rPr>
              <w:t>ările de Jos</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84.5</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87.2</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Austria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64.2</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67.9</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Polonia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16</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17</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Portugalia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66.1</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69.3</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România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16.4</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17.5</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Slovenia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17.9</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19</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Slovacia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18.9</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20.1</w:t>
            </w:r>
          </w:p>
        </w:tc>
      </w:tr>
      <w:tr w:rsidR="004D1086">
        <w:trPr>
          <w:jc w:val="center"/>
        </w:trPr>
        <w:tc>
          <w:tcPr>
            <w:tcW w:w="4058" w:type="dxa"/>
            <w:tcBorders>
              <w:top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Finlanda</w:t>
            </w:r>
          </w:p>
        </w:tc>
        <w:tc>
          <w:tcPr>
            <w:tcW w:w="2789" w:type="dxa"/>
            <w:tcBorders>
              <w:top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69.5</w:t>
            </w:r>
          </w:p>
        </w:tc>
        <w:tc>
          <w:tcPr>
            <w:tcW w:w="2791" w:type="dxa"/>
            <w:tcBorders>
              <w:top w:val="single" w:sz="2" w:space="0" w:color="CFCFCF"/>
              <w:bottom w:val="single" w:sz="6"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72.2</w:t>
            </w:r>
          </w:p>
        </w:tc>
      </w:tr>
      <w:tr w:rsidR="004D1086">
        <w:trPr>
          <w:jc w:val="center"/>
        </w:trPr>
        <w:tc>
          <w:tcPr>
            <w:tcW w:w="4058" w:type="dxa"/>
            <w:tcBorders>
              <w:top w:val="single" w:sz="2" w:space="0" w:color="CFCFCF"/>
              <w:bottom w:val="single" w:sz="2" w:space="0" w:color="CFCFCF"/>
            </w:tcBorders>
            <w:vAlign w:val="center"/>
          </w:tcPr>
          <w:p w:rsidR="004D1086" w:rsidRDefault="006E0098">
            <w:pPr>
              <w:widowControl w:val="0"/>
              <w:jc w:val="both"/>
              <w:rPr>
                <w:rFonts w:ascii="Times New Roman" w:hAnsi="Times New Roman" w:cs="Times New Roman"/>
                <w:color w:val="404040"/>
                <w:lang w:val="ro-RO"/>
              </w:rPr>
            </w:pPr>
            <w:r>
              <w:rPr>
                <w:rStyle w:val="Strong"/>
                <w:rFonts w:ascii="Times New Roman" w:hAnsi="Times New Roman" w:cs="Times New Roman"/>
                <w:color w:val="404040"/>
                <w:lang w:val="ro-RO"/>
              </w:rPr>
              <w:t>Suedia</w:t>
            </w:r>
          </w:p>
        </w:tc>
        <w:tc>
          <w:tcPr>
            <w:tcW w:w="2789" w:type="dxa"/>
            <w:tcBorders>
              <w:top w:val="single" w:sz="2" w:space="0" w:color="CFCFCF"/>
              <w:bottom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78.5</w:t>
            </w:r>
          </w:p>
        </w:tc>
        <w:tc>
          <w:tcPr>
            <w:tcW w:w="2791" w:type="dxa"/>
            <w:tcBorders>
              <w:top w:val="single" w:sz="2" w:space="0" w:color="CFCFCF"/>
              <w:bottom w:val="single" w:sz="2" w:space="0" w:color="CFCFCF"/>
            </w:tcBorders>
            <w:vAlign w:val="center"/>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80</w:t>
            </w:r>
          </w:p>
        </w:tc>
      </w:tr>
    </w:tbl>
    <w:p w:rsidR="004D1086" w:rsidRDefault="006E0098">
      <w:pPr>
        <w:jc w:val="both"/>
        <w:rPr>
          <w:color w:val="0000FF"/>
        </w:rPr>
      </w:pPr>
      <w:r>
        <w:br w:type="page"/>
      </w:r>
      <w:r>
        <w:rPr>
          <w:rFonts w:ascii="Times New Roman" w:hAnsi="Times New Roman" w:cs="Times New Roman"/>
          <w:color w:val="0000FF"/>
          <w:lang w:val="ro-RO"/>
        </w:rPr>
        <w:lastRenderedPageBreak/>
        <w:t>2.</w:t>
      </w:r>
      <w:r>
        <w:rPr>
          <w:rFonts w:ascii="Times New Roman" w:eastAsia="Times New Roman" w:hAnsi="Times New Roman" w:cs="Times New Roman"/>
          <w:b/>
          <w:color w:val="0000FF"/>
          <w:lang w:val="ro-RO" w:eastAsia="ar-SA"/>
        </w:rPr>
        <w:t>DATE STATISTICE (LA NIVEL INTERNAȚIONAL, EUROPEAN, NAȚIONAL ȘI JUDEȚEAN)</w:t>
      </w:r>
      <w:r>
        <w:rPr>
          <w:rFonts w:ascii="Times New Roman" w:hAnsi="Times New Roman" w:cs="Times New Roman"/>
          <w:color w:val="0000FF"/>
          <w:lang w:val="ro-RO"/>
        </w:rPr>
        <w:t xml:space="preserve"> </w:t>
      </w:r>
    </w:p>
    <w:p w:rsidR="004D1086" w:rsidRDefault="006E0098">
      <w:pPr>
        <w:pStyle w:val="Heading2"/>
        <w:spacing w:before="280" w:after="280"/>
        <w:jc w:val="both"/>
        <w:rPr>
          <w:color w:val="0000FF"/>
        </w:rPr>
      </w:pPr>
      <w:r>
        <w:rPr>
          <w:color w:val="0000FF"/>
          <w:sz w:val="22"/>
          <w:szCs w:val="22"/>
        </w:rPr>
        <w:t>2.1. Povara bolilor legate de aportul de cereale integrale</w:t>
      </w:r>
    </w:p>
    <w:p w:rsidR="004D1086" w:rsidRDefault="006E0098">
      <w:pPr>
        <w:pStyle w:val="NormalWeb"/>
        <w:spacing w:before="280" w:after="0"/>
        <w:jc w:val="both"/>
        <w:rPr>
          <w:color w:val="404040"/>
          <w:sz w:val="22"/>
          <w:szCs w:val="22"/>
        </w:rPr>
      </w:pPr>
      <w:r>
        <w:rPr>
          <w:color w:val="404040"/>
          <w:sz w:val="22"/>
          <w:szCs w:val="22"/>
        </w:rPr>
        <w:t>Studiul Global Burden of Disease (studiul</w:t>
      </w:r>
      <w:hyperlink r:id="rId26" w:tgtFrame="o analiză sistematică a studiului privind povara globală a bolilor din 2016. Lancet, vol. 390, nr. 10100">
        <w:r>
          <w:rPr>
            <w:rStyle w:val="Hyperlink"/>
            <w:color w:val="004494"/>
            <w:sz w:val="22"/>
            <w:szCs w:val="22"/>
          </w:rPr>
          <w:t xml:space="preserve"> GBD 2019</w:t>
        </w:r>
      </w:hyperlink>
      <w:r>
        <w:rPr>
          <w:color w:val="404040"/>
          <w:sz w:val="22"/>
          <w:szCs w:val="22"/>
        </w:rPr>
        <w:t xml:space="preserve">) definește dietele sărace în cereale integrale ca un consum zilnic mediu de mai puțin de 125 de grame pe zi de cereale integrale (tărâțe, germeni și endosperme în proporțiile lor naturale) </w:t>
      </w:r>
      <w:r>
        <w:rPr>
          <w:color w:val="404040"/>
          <w:sz w:val="22"/>
          <w:szCs w:val="22"/>
        </w:rPr>
        <w:t>din cereale pentru micul dejun, pâine, orez, paste făinoase, biscuiți, brioșe,  clătite și alte surse. Conform studiului GBD 2019, o dietă săracă în cereale integrale a dus la aproape 215.000 de decese evitabile în statele membre ale UE în anul 2019, precu</w:t>
      </w:r>
      <w:r>
        <w:rPr>
          <w:color w:val="404040"/>
          <w:sz w:val="22"/>
          <w:szCs w:val="22"/>
        </w:rPr>
        <w:t>m și peste 3,5 milioane de ani de viață ajustată pentru persoanele cu handicap (</w:t>
      </w:r>
      <w:hyperlink r:id="rId27" w:anchor="_blank" w:history="1">
        <w:bookmarkStart w:id="3" w:name="GlossaryDALY"/>
        <w:r>
          <w:rPr>
            <w:rStyle w:val="Hyperlink"/>
            <w:color w:val="004494"/>
            <w:sz w:val="22"/>
            <w:szCs w:val="22"/>
            <w:u w:val="none"/>
          </w:rPr>
          <w:t>DALY</w:t>
        </w:r>
      </w:hyperlink>
      <w:bookmarkEnd w:id="3"/>
      <w:r>
        <w:rPr>
          <w:color w:val="404040"/>
          <w:sz w:val="22"/>
          <w:szCs w:val="22"/>
        </w:rPr>
        <w:t>– suma de ani pierduți din cauza decesului prematur și a anilor trăiți cu handicap). Aproape 248.000 sunt</w:t>
      </w:r>
      <w:r>
        <w:rPr>
          <w:color w:val="404040"/>
          <w:sz w:val="22"/>
          <w:szCs w:val="22"/>
        </w:rPr>
        <w:t xml:space="preserve"> decese prin boli cardiovasculare, care reprezintă marea majoritate a deceselor asociate cu dietele sărace în cereale integrale. Valorile pentru fiecare stat membru al UE în 2019 pot fi văzute pe harta și tabelul de mai jos.</w:t>
      </w:r>
      <w:r>
        <w:t xml:space="preserve"> </w:t>
      </w:r>
      <w:r>
        <w:rPr>
          <w:color w:val="404040"/>
          <w:sz w:val="22"/>
          <w:szCs w:val="22"/>
        </w:rPr>
        <w:t>Datele se referă la DALYS din t</w:t>
      </w:r>
      <w:r>
        <w:rPr>
          <w:color w:val="404040"/>
          <w:sz w:val="22"/>
          <w:szCs w:val="22"/>
        </w:rPr>
        <w:t xml:space="preserve">oate cauzele, pentru ambele sexe la toate vârstele. </w:t>
      </w:r>
    </w:p>
    <w:p w:rsidR="004D1086" w:rsidRDefault="006E0098">
      <w:pPr>
        <w:pStyle w:val="Heading2"/>
        <w:spacing w:after="280"/>
        <w:jc w:val="center"/>
        <w:rPr>
          <w:color w:val="404040"/>
          <w:sz w:val="22"/>
          <w:szCs w:val="22"/>
        </w:rPr>
      </w:pPr>
      <w:r>
        <w:rPr>
          <w:color w:val="404040"/>
          <w:sz w:val="22"/>
          <w:szCs w:val="22"/>
        </w:rPr>
        <w:t>Ani de viață ajustați în funcție de handicap (DALY)/100000 care pot fi atribuite unei diete sărace în cereale integrale în statele membre ale UE (2019)</w:t>
      </w:r>
      <w:r>
        <w:rPr>
          <w:rStyle w:val="FootnoteAnchor"/>
          <w:color w:val="404040"/>
          <w:sz w:val="22"/>
          <w:szCs w:val="22"/>
        </w:rPr>
        <w:footnoteReference w:id="13"/>
      </w:r>
    </w:p>
    <w:p w:rsidR="004D1086" w:rsidRDefault="006E0098">
      <w:pPr>
        <w:jc w:val="both"/>
        <w:rPr>
          <w:rFonts w:ascii="Times New Roman" w:hAnsi="Times New Roman" w:cs="Times New Roman"/>
          <w:color w:val="404040"/>
          <w:lang w:val="ro-RO"/>
        </w:rPr>
      </w:pPr>
      <w:r>
        <w:rPr>
          <w:noProof/>
        </w:rPr>
        <w:drawing>
          <wp:inline distT="0" distB="0" distL="0" distR="0">
            <wp:extent cx="5760720" cy="2403475"/>
            <wp:effectExtent l="0" t="0" r="0" b="0"/>
            <wp:docPr id="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2"/>
                    <pic:cNvPicPr>
                      <a:picLocks noChangeAspect="1" noChangeArrowheads="1"/>
                    </pic:cNvPicPr>
                  </pic:nvPicPr>
                  <pic:blipFill>
                    <a:blip r:embed="rId28"/>
                    <a:srcRect l="10360" t="45811" r="16451" b="8399"/>
                    <a:stretch>
                      <a:fillRect/>
                    </a:stretch>
                  </pic:blipFill>
                  <pic:spPr bwMode="auto">
                    <a:xfrm>
                      <a:off x="0" y="0"/>
                      <a:ext cx="5760720" cy="2403475"/>
                    </a:xfrm>
                    <a:prstGeom prst="rect">
                      <a:avLst/>
                    </a:prstGeom>
                  </pic:spPr>
                </pic:pic>
              </a:graphicData>
            </a:graphic>
          </wp:inline>
        </w:drawing>
      </w:r>
    </w:p>
    <w:p w:rsidR="004D1086" w:rsidRDefault="006E0098">
      <w:pPr>
        <w:jc w:val="center"/>
        <w:rPr>
          <w:rFonts w:ascii="Times New Roman" w:hAnsi="Times New Roman" w:cs="Times New Roman"/>
          <w:color w:val="000000"/>
          <w:lang w:val="ro-RO"/>
        </w:rPr>
      </w:pPr>
      <w:r>
        <w:rPr>
          <w:rFonts w:ascii="Times New Roman" w:hAnsi="Times New Roman" w:cs="Times New Roman"/>
          <w:color w:val="404040"/>
          <w:lang w:val="ro-RO"/>
        </w:rPr>
        <w:t>Sursă: studiul Global Burden of Disease (2019)</w:t>
      </w:r>
    </w:p>
    <w:tbl>
      <w:tblPr>
        <w:tblpPr w:leftFromText="45" w:rightFromText="45" w:vertAnchor="text"/>
        <w:tblW w:w="5000" w:type="pct"/>
        <w:tblLayout w:type="fixed"/>
        <w:tblCellMar>
          <w:top w:w="15" w:type="dxa"/>
          <w:left w:w="15" w:type="dxa"/>
          <w:bottom w:w="15" w:type="dxa"/>
          <w:right w:w="15" w:type="dxa"/>
        </w:tblCellMar>
        <w:tblLook w:val="04A0" w:firstRow="1" w:lastRow="0" w:firstColumn="1" w:lastColumn="0" w:noHBand="0" w:noVBand="1"/>
      </w:tblPr>
      <w:tblGrid>
        <w:gridCol w:w="6651"/>
        <w:gridCol w:w="3017"/>
      </w:tblGrid>
      <w:tr w:rsidR="004D1086">
        <w:trPr>
          <w:tblHeader/>
        </w:trPr>
        <w:tc>
          <w:tcPr>
            <w:tcW w:w="9637" w:type="dxa"/>
            <w:gridSpan w:val="2"/>
            <w:shd w:val="clear" w:color="auto" w:fill="F2F5F9"/>
            <w:vAlign w:val="bottom"/>
          </w:tcPr>
          <w:p w:rsidR="004D1086" w:rsidRDefault="006E0098">
            <w:pPr>
              <w:widowControl w:val="0"/>
              <w:spacing w:after="0" w:line="240" w:lineRule="auto"/>
              <w:jc w:val="both"/>
              <w:rPr>
                <w:rFonts w:ascii="Times New Roman" w:eastAsia="Times New Roman" w:hAnsi="Times New Roman" w:cs="Times New Roman"/>
                <w:b/>
                <w:bCs/>
                <w:color w:val="404040"/>
                <w:lang w:val="ro-RO" w:eastAsia="ro-RO"/>
              </w:rPr>
            </w:pPr>
            <w:r>
              <w:rPr>
                <w:rFonts w:ascii="Times New Roman" w:eastAsia="Times New Roman" w:hAnsi="Times New Roman" w:cs="Times New Roman"/>
                <w:b/>
                <w:bCs/>
                <w:color w:val="404040"/>
                <w:lang w:val="ro-RO" w:eastAsia="ro-RO"/>
              </w:rPr>
              <w:t>Țară</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Belgia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492</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Bulgaria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1 948</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Cehia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835</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Danemarca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508</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Germania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640</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Estonia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936</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Irlanda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345</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Grecia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1 161</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Spania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470</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Franța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438</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Croația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1 052</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Italia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825</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Cipru</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603</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Letonia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1 583</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Lituania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1 494</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lastRenderedPageBreak/>
              <w:t>Luxemburg</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367</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Ungaria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1 349</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Malta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959</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 xml:space="preserve">Țările </w:t>
            </w:r>
            <w:r>
              <w:rPr>
                <w:rFonts w:ascii="Times New Roman" w:eastAsia="Times New Roman" w:hAnsi="Times New Roman" w:cs="Times New Roman"/>
                <w:color w:val="404040"/>
                <w:lang w:val="ro-RO" w:eastAsia="ro-RO"/>
              </w:rPr>
              <w:t>de Jos</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454</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Austria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515</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Polonia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927</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Portugalia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576</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România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1 196</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Slovenia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536</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Slovacia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1 157</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Finlanda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717</w:t>
            </w:r>
          </w:p>
        </w:tc>
      </w:tr>
      <w:tr w:rsidR="004D1086">
        <w:tc>
          <w:tcPr>
            <w:tcW w:w="6630"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Suedia</w:t>
            </w:r>
          </w:p>
        </w:tc>
        <w:tc>
          <w:tcPr>
            <w:tcW w:w="3007"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615</w:t>
            </w:r>
          </w:p>
        </w:tc>
      </w:tr>
    </w:tbl>
    <w:p w:rsidR="004D1086" w:rsidRDefault="004D1086">
      <w:pPr>
        <w:ind w:firstLine="360"/>
        <w:jc w:val="both"/>
        <w:rPr>
          <w:rFonts w:ascii="Times New Roman" w:hAnsi="Times New Roman" w:cs="Times New Roman"/>
          <w:lang w:val="ro-RO"/>
        </w:rPr>
      </w:pPr>
    </w:p>
    <w:p w:rsidR="004D1086" w:rsidRDefault="006E0098">
      <w:pPr>
        <w:pStyle w:val="Heading2"/>
        <w:spacing w:after="280"/>
        <w:jc w:val="center"/>
        <w:rPr>
          <w:color w:val="404040"/>
          <w:sz w:val="22"/>
          <w:szCs w:val="22"/>
        </w:rPr>
      </w:pPr>
      <w:r>
        <w:rPr>
          <w:color w:val="404040"/>
          <w:sz w:val="22"/>
          <w:szCs w:val="22"/>
        </w:rPr>
        <w:t>Harta mortalității: decese/100 000 cauzate de o dietă săracă în cereale integrale în statele membre ale UE (2019)</w:t>
      </w:r>
      <w:r>
        <w:rPr>
          <w:rStyle w:val="FootnoteAnchor"/>
          <w:color w:val="404040"/>
          <w:sz w:val="22"/>
          <w:szCs w:val="22"/>
        </w:rPr>
        <w:footnoteReference w:id="14"/>
      </w:r>
    </w:p>
    <w:p w:rsidR="004D1086" w:rsidRDefault="006E0098">
      <w:pPr>
        <w:pStyle w:val="NormalWeb"/>
        <w:spacing w:before="280" w:after="280"/>
        <w:jc w:val="both"/>
        <w:rPr>
          <w:color w:val="404040"/>
          <w:sz w:val="22"/>
          <w:szCs w:val="22"/>
        </w:rPr>
      </w:pPr>
      <w:r>
        <w:rPr>
          <w:noProof/>
          <w:lang w:val="en-US" w:eastAsia="en-US"/>
        </w:rPr>
        <w:drawing>
          <wp:inline distT="0" distB="0" distL="0" distR="0">
            <wp:extent cx="5721985" cy="2338070"/>
            <wp:effectExtent l="0" t="0" r="0" b="0"/>
            <wp:docPr id="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3"/>
                    <pic:cNvPicPr>
                      <a:picLocks noChangeAspect="1" noChangeArrowheads="1"/>
                    </pic:cNvPicPr>
                  </pic:nvPicPr>
                  <pic:blipFill>
                    <a:blip r:embed="rId29"/>
                    <a:srcRect l="10611" t="28176" r="15927" b="26806"/>
                    <a:stretch>
                      <a:fillRect/>
                    </a:stretch>
                  </pic:blipFill>
                  <pic:spPr bwMode="auto">
                    <a:xfrm>
                      <a:off x="0" y="0"/>
                      <a:ext cx="5721985" cy="2338070"/>
                    </a:xfrm>
                    <a:prstGeom prst="rect">
                      <a:avLst/>
                    </a:prstGeom>
                  </pic:spPr>
                </pic:pic>
              </a:graphicData>
            </a:graphic>
          </wp:inline>
        </w:drawing>
      </w:r>
    </w:p>
    <w:p w:rsidR="004D1086" w:rsidRDefault="006E0098">
      <w:pPr>
        <w:pStyle w:val="NormalWeb"/>
        <w:spacing w:before="280" w:after="280"/>
        <w:jc w:val="both"/>
        <w:rPr>
          <w:color w:val="404040"/>
          <w:sz w:val="22"/>
          <w:szCs w:val="22"/>
        </w:rPr>
      </w:pPr>
      <w:r>
        <w:rPr>
          <w:color w:val="404040"/>
          <w:sz w:val="22"/>
          <w:szCs w:val="22"/>
        </w:rPr>
        <w:t xml:space="preserve">Sursă: datele se bazează pe studiul privind povara globală a bolilor (2019). Datele se referă la decese din toate cauzele, pentru ambele sexe, la toate vârstele.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7379"/>
        <w:gridCol w:w="2289"/>
      </w:tblGrid>
      <w:tr w:rsidR="004D1086">
        <w:trPr>
          <w:tblHeader/>
        </w:trPr>
        <w:tc>
          <w:tcPr>
            <w:tcW w:w="9637" w:type="dxa"/>
            <w:gridSpan w:val="2"/>
            <w:shd w:val="clear" w:color="auto" w:fill="F2F5F9"/>
            <w:vAlign w:val="bottom"/>
          </w:tcPr>
          <w:p w:rsidR="004D1086" w:rsidRDefault="006E0098">
            <w:pPr>
              <w:widowControl w:val="0"/>
              <w:spacing w:after="0" w:line="240" w:lineRule="auto"/>
              <w:jc w:val="both"/>
              <w:rPr>
                <w:rFonts w:ascii="Times New Roman" w:eastAsia="Times New Roman" w:hAnsi="Times New Roman" w:cs="Times New Roman"/>
                <w:b/>
                <w:bCs/>
                <w:color w:val="404040"/>
                <w:lang w:val="ro-RO" w:eastAsia="ro-RO"/>
              </w:rPr>
            </w:pPr>
            <w:r>
              <w:rPr>
                <w:rFonts w:ascii="Times New Roman" w:eastAsia="Times New Roman" w:hAnsi="Times New Roman" w:cs="Times New Roman"/>
                <w:b/>
                <w:bCs/>
                <w:color w:val="404040"/>
                <w:lang w:val="ro-RO" w:eastAsia="ro-RO"/>
              </w:rPr>
              <w:t>Țară</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Belgia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29</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Bulgaria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106</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Cehia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48</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Danemarca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31</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Germania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40</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Estonia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60</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Irlanda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19</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Grecia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72</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Spania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28</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Franța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28</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Croația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62</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Italia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53</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Cipru</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30</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Letonia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96</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lastRenderedPageBreak/>
              <w:t>Lituania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95</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Luxemburg</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20</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Ungaria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75</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Malta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55</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Țările de Jos</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26</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Austria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33</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Polonia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52</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Portugalia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34</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România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67</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Slovenia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30</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Slovacia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64</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Finlanda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47</w:t>
            </w:r>
          </w:p>
        </w:tc>
      </w:tr>
      <w:tr w:rsidR="004D1086">
        <w:tc>
          <w:tcPr>
            <w:tcW w:w="7355" w:type="dxa"/>
            <w:tcBorders>
              <w:top w:val="single" w:sz="2"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Suedia</w:t>
            </w:r>
          </w:p>
        </w:tc>
        <w:tc>
          <w:tcPr>
            <w:tcW w:w="2282" w:type="dxa"/>
            <w:tcBorders>
              <w:top w:val="single" w:sz="2" w:space="0" w:color="CFCFCF"/>
              <w:bottom w:val="single" w:sz="6" w:space="0" w:color="CFCFCF"/>
            </w:tcBorders>
            <w:vAlign w:val="center"/>
          </w:tcPr>
          <w:p w:rsidR="004D1086" w:rsidRDefault="006E0098">
            <w:pPr>
              <w:widowControl w:val="0"/>
              <w:spacing w:after="0" w:line="240" w:lineRule="auto"/>
              <w:jc w:val="both"/>
              <w:rPr>
                <w:rFonts w:ascii="Times New Roman" w:eastAsia="Times New Roman" w:hAnsi="Times New Roman" w:cs="Times New Roman"/>
                <w:color w:val="404040"/>
                <w:lang w:val="ro-RO" w:eastAsia="ro-RO"/>
              </w:rPr>
            </w:pPr>
            <w:r>
              <w:rPr>
                <w:rFonts w:ascii="Times New Roman" w:eastAsia="Times New Roman" w:hAnsi="Times New Roman" w:cs="Times New Roman"/>
                <w:color w:val="404040"/>
                <w:lang w:val="ro-RO" w:eastAsia="ro-RO"/>
              </w:rPr>
              <w:t>40</w:t>
            </w:r>
          </w:p>
        </w:tc>
      </w:tr>
    </w:tbl>
    <w:p w:rsidR="004D1086" w:rsidRDefault="004D1086">
      <w:pPr>
        <w:ind w:firstLine="360"/>
        <w:jc w:val="both"/>
        <w:rPr>
          <w:rFonts w:ascii="Times New Roman" w:hAnsi="Times New Roman" w:cs="Times New Roman"/>
          <w:lang w:val="ro-RO"/>
        </w:rPr>
      </w:pPr>
    </w:p>
    <w:p w:rsidR="004D1086" w:rsidRDefault="006E0098">
      <w:pPr>
        <w:jc w:val="both"/>
        <w:rPr>
          <w:rFonts w:ascii="Times New Roman" w:hAnsi="Times New Roman" w:cs="Times New Roman"/>
          <w:lang w:val="ro-RO"/>
        </w:rPr>
      </w:pPr>
      <w:r>
        <w:rPr>
          <w:rFonts w:ascii="Times New Roman" w:hAnsi="Times New Roman" w:cs="Times New Roman"/>
          <w:lang w:val="ro-RO"/>
        </w:rPr>
        <w:t xml:space="preserve">Din </w:t>
      </w:r>
      <w:r>
        <w:rPr>
          <w:rFonts w:ascii="Times New Roman" w:hAnsi="Times New Roman" w:cs="Times New Roman"/>
          <w:lang w:val="ro-RO"/>
        </w:rPr>
        <w:t>analiza datelor statistice cu privire la ratele deces prin principalele boli (cardiovasculare, tumori și diabet) și DALY, care au ca factor de risc consumul scăzut de cereale integrale</w:t>
      </w:r>
      <w:r>
        <w:rPr>
          <w:rFonts w:ascii="Times New Roman" w:hAnsi="Times New Roman"/>
          <w:lang w:val="ro-RO"/>
        </w:rPr>
        <w:t xml:space="preserve">, niveluri comparative Europa și România, se observă niveluri crescute </w:t>
      </w:r>
      <w:r>
        <w:rPr>
          <w:rFonts w:ascii="Times New Roman" w:hAnsi="Times New Roman"/>
          <w:lang w:val="ro-RO"/>
        </w:rPr>
        <w:t>de mortalitate și DALY prin mortalitate generală și prin bolile cardiovasculare în România față de Europa (sursa GBD)</w:t>
      </w:r>
      <w:r>
        <w:rPr>
          <w:rStyle w:val="FootnoteAnchor"/>
          <w:rFonts w:ascii="Times New Roman" w:hAnsi="Times New Roman"/>
          <w:lang w:val="ro-RO"/>
        </w:rPr>
        <w:footnoteReference w:id="15"/>
      </w:r>
      <w:r>
        <w:rPr>
          <w:rFonts w:ascii="Times New Roman" w:hAnsi="Times New Roman"/>
          <w:lang w:val="ro-RO"/>
        </w:rPr>
        <w:t>:</w:t>
      </w:r>
    </w:p>
    <w:p w:rsidR="004D1086" w:rsidRDefault="006E0098">
      <w:pPr>
        <w:ind w:firstLine="360"/>
        <w:jc w:val="both"/>
        <w:rPr>
          <w:rFonts w:ascii="Times New Roman" w:hAnsi="Times New Roman" w:cs="Times New Roman"/>
          <w:lang w:val="ro-RO"/>
        </w:rPr>
      </w:pPr>
      <w:r>
        <w:rPr>
          <w:noProof/>
        </w:rPr>
        <w:drawing>
          <wp:inline distT="0" distB="0" distL="0" distR="0">
            <wp:extent cx="5426075" cy="2915920"/>
            <wp:effectExtent l="0" t="0" r="0" b="0"/>
            <wp:docPr id="9"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4"/>
                    <pic:cNvPicPr>
                      <a:picLocks noChangeAspect="1" noChangeArrowheads="1"/>
                    </pic:cNvPicPr>
                  </pic:nvPicPr>
                  <pic:blipFill>
                    <a:blip r:embed="rId30"/>
                    <a:srcRect l="34726" t="37829" r="6404" b="14226"/>
                    <a:stretch>
                      <a:fillRect/>
                    </a:stretch>
                  </pic:blipFill>
                  <pic:spPr bwMode="auto">
                    <a:xfrm>
                      <a:off x="0" y="0"/>
                      <a:ext cx="5426075" cy="2915920"/>
                    </a:xfrm>
                    <a:prstGeom prst="rect">
                      <a:avLst/>
                    </a:prstGeom>
                  </pic:spPr>
                </pic:pic>
              </a:graphicData>
            </a:graphic>
          </wp:inline>
        </w:drawing>
      </w:r>
    </w:p>
    <w:p w:rsidR="004D1086" w:rsidRDefault="006E0098">
      <w:pPr>
        <w:ind w:firstLine="360"/>
        <w:jc w:val="both"/>
        <w:rPr>
          <w:rFonts w:ascii="Times New Roman" w:hAnsi="Times New Roman" w:cs="Times New Roman"/>
          <w:lang w:val="ro-RO"/>
        </w:rPr>
      </w:pPr>
      <w:r>
        <w:rPr>
          <w:noProof/>
        </w:rPr>
        <w:lastRenderedPageBreak/>
        <w:drawing>
          <wp:inline distT="0" distB="0" distL="0" distR="0">
            <wp:extent cx="5495290" cy="4152900"/>
            <wp:effectExtent l="0" t="0" r="0" b="0"/>
            <wp:docPr id="10"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5"/>
                    <pic:cNvPicPr>
                      <a:picLocks noChangeAspect="1" noChangeArrowheads="1"/>
                    </pic:cNvPicPr>
                  </pic:nvPicPr>
                  <pic:blipFill>
                    <a:blip r:embed="rId31"/>
                    <a:srcRect l="33172" t="36430" r="4371" b="13010"/>
                    <a:stretch>
                      <a:fillRect/>
                    </a:stretch>
                  </pic:blipFill>
                  <pic:spPr bwMode="auto">
                    <a:xfrm>
                      <a:off x="0" y="0"/>
                      <a:ext cx="5495290" cy="4152900"/>
                    </a:xfrm>
                    <a:prstGeom prst="rect">
                      <a:avLst/>
                    </a:prstGeom>
                  </pic:spPr>
                </pic:pic>
              </a:graphicData>
            </a:graphic>
          </wp:inline>
        </w:drawing>
      </w:r>
    </w:p>
    <w:p w:rsidR="004D1086" w:rsidRDefault="006E0098">
      <w:pPr>
        <w:ind w:firstLine="360"/>
        <w:jc w:val="both"/>
        <w:rPr>
          <w:rFonts w:ascii="Times New Roman" w:hAnsi="Times New Roman" w:cs="Times New Roman"/>
          <w:lang w:val="ro-RO"/>
        </w:rPr>
      </w:pPr>
      <w:r>
        <w:rPr>
          <w:noProof/>
        </w:rPr>
        <w:drawing>
          <wp:inline distT="0" distB="0" distL="0" distR="0">
            <wp:extent cx="5296535" cy="3701415"/>
            <wp:effectExtent l="0" t="0" r="0" b="0"/>
            <wp:docPr id="11"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6"/>
                    <pic:cNvPicPr>
                      <a:picLocks noChangeAspect="1" noChangeArrowheads="1"/>
                    </pic:cNvPicPr>
                  </pic:nvPicPr>
                  <pic:blipFill>
                    <a:blip r:embed="rId32"/>
                    <a:srcRect l="34117" t="35606" r="4528" b="13129"/>
                    <a:stretch>
                      <a:fillRect/>
                    </a:stretch>
                  </pic:blipFill>
                  <pic:spPr bwMode="auto">
                    <a:xfrm>
                      <a:off x="0" y="0"/>
                      <a:ext cx="5296535" cy="3701415"/>
                    </a:xfrm>
                    <a:prstGeom prst="rect">
                      <a:avLst/>
                    </a:prstGeom>
                  </pic:spPr>
                </pic:pic>
              </a:graphicData>
            </a:graphic>
          </wp:inline>
        </w:drawing>
      </w:r>
    </w:p>
    <w:p w:rsidR="004D1086" w:rsidRDefault="006E0098">
      <w:pPr>
        <w:ind w:firstLine="360"/>
        <w:jc w:val="both"/>
        <w:rPr>
          <w:rFonts w:ascii="Times New Roman" w:hAnsi="Times New Roman" w:cs="Times New Roman"/>
          <w:lang w:val="ro-RO"/>
        </w:rPr>
      </w:pPr>
      <w:r>
        <w:rPr>
          <w:noProof/>
        </w:rPr>
        <w:lastRenderedPageBreak/>
        <w:drawing>
          <wp:inline distT="0" distB="0" distL="0" distR="0">
            <wp:extent cx="5513705" cy="2646045"/>
            <wp:effectExtent l="0" t="0" r="0" b="0"/>
            <wp:docPr id="1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7"/>
                    <pic:cNvPicPr>
                      <a:picLocks noChangeAspect="1" noChangeArrowheads="1"/>
                    </pic:cNvPicPr>
                  </pic:nvPicPr>
                  <pic:blipFill>
                    <a:blip r:embed="rId33"/>
                    <a:srcRect l="32464" t="35612" r="-1535" b="14661"/>
                    <a:stretch>
                      <a:fillRect/>
                    </a:stretch>
                  </pic:blipFill>
                  <pic:spPr bwMode="auto">
                    <a:xfrm>
                      <a:off x="0" y="0"/>
                      <a:ext cx="5513705" cy="2646045"/>
                    </a:xfrm>
                    <a:prstGeom prst="rect">
                      <a:avLst/>
                    </a:prstGeom>
                  </pic:spPr>
                </pic:pic>
              </a:graphicData>
            </a:graphic>
          </wp:inline>
        </w:drawing>
      </w:r>
    </w:p>
    <w:p w:rsidR="004D1086" w:rsidRDefault="006E0098">
      <w:pPr>
        <w:ind w:firstLine="360"/>
        <w:jc w:val="both"/>
        <w:rPr>
          <w:color w:val="0000FF"/>
        </w:rPr>
      </w:pPr>
      <w:r>
        <w:rPr>
          <w:rFonts w:ascii="Times New Roman" w:hAnsi="Times New Roman" w:cs="Times New Roman"/>
          <w:color w:val="0000FF"/>
          <w:lang w:val="ro-RO"/>
        </w:rPr>
        <w:t xml:space="preserve">2.2 Date statistice la nivel național asupra principalilor indicatori ai sănătății ce țin de alimentație, boli cardiovasculare, </w:t>
      </w:r>
      <w:r>
        <w:rPr>
          <w:rFonts w:ascii="Times New Roman" w:hAnsi="Times New Roman" w:cs="Times New Roman"/>
          <w:color w:val="0000FF"/>
          <w:lang w:val="ro-RO"/>
        </w:rPr>
        <w:t>obezitate, diabet:</w:t>
      </w:r>
    </w:p>
    <w:p w:rsidR="004D1086" w:rsidRDefault="006E0098">
      <w:pPr>
        <w:spacing w:after="0" w:line="240" w:lineRule="auto"/>
        <w:jc w:val="both"/>
        <w:rPr>
          <w:rFonts w:ascii="Times New Roman" w:hAnsi="Times New Roman" w:cs="Times New Roman"/>
          <w:bCs/>
          <w:iCs/>
          <w:lang w:val="ro-RO"/>
        </w:rPr>
      </w:pPr>
      <w:r>
        <w:rPr>
          <w:rFonts w:ascii="Times New Roman" w:hAnsi="Times New Roman" w:cs="Times New Roman"/>
          <w:lang w:val="ro-RO"/>
        </w:rPr>
        <w:t xml:space="preserve">În anul 2020, România a înregistrat în medie 672,14 decese prin boli cardiovasculare la 100.000 de locuitori </w:t>
      </w:r>
      <w:r>
        <w:rPr>
          <w:rFonts w:ascii="Times New Roman" w:hAnsi="Times New Roman" w:cs="Times New Roman"/>
          <w:bCs/>
          <w:iCs/>
          <w:lang w:val="ro-RO"/>
        </w:rPr>
        <w:t>(</w:t>
      </w:r>
      <w:r>
        <w:rPr>
          <w:rFonts w:ascii="Times New Roman" w:hAnsi="Times New Roman" w:cs="Times New Roman"/>
          <w:bCs/>
          <w:i/>
          <w:iCs/>
          <w:lang w:val="ro-RO"/>
        </w:rPr>
        <w:t>vezi fig. de mai jos):</w:t>
      </w:r>
    </w:p>
    <w:p w:rsidR="004D1086" w:rsidRDefault="004D1086">
      <w:pPr>
        <w:spacing w:after="0" w:line="240" w:lineRule="auto"/>
        <w:ind w:firstLine="720"/>
        <w:jc w:val="both"/>
        <w:rPr>
          <w:rFonts w:ascii="Times New Roman" w:hAnsi="Times New Roman" w:cs="Times New Roman"/>
          <w:highlight w:val="yellow"/>
          <w:lang w:val="ro-RO"/>
        </w:rPr>
      </w:pPr>
    </w:p>
    <w:p w:rsidR="004D1086" w:rsidRDefault="006E0098">
      <w:pPr>
        <w:spacing w:after="0" w:line="240" w:lineRule="auto"/>
        <w:jc w:val="center"/>
        <w:rPr>
          <w:rFonts w:ascii="Times New Roman" w:hAnsi="Times New Roman" w:cs="Times New Roman"/>
          <w:b/>
          <w:bCs/>
          <w:i/>
          <w:iCs/>
          <w:lang w:val="ro-RO"/>
        </w:rPr>
      </w:pPr>
      <w:r>
        <w:rPr>
          <w:rFonts w:ascii="Times New Roman" w:hAnsi="Times New Roman" w:cs="Times New Roman"/>
          <w:b/>
          <w:bCs/>
          <w:i/>
          <w:iCs/>
          <w:lang w:val="ro-RO"/>
        </w:rPr>
        <w:t>Repartiția mortalității specifice după principalele boli cardiovasculare, în perioada 2011 - 2020 (la 1</w:t>
      </w:r>
      <w:r>
        <w:rPr>
          <w:rFonts w:ascii="Times New Roman" w:hAnsi="Times New Roman" w:cs="Times New Roman"/>
          <w:b/>
          <w:bCs/>
          <w:i/>
          <w:iCs/>
          <w:lang w:val="ro-RO"/>
        </w:rPr>
        <w:t>00.000 de locuitori) (</w:t>
      </w:r>
      <w:r>
        <w:rPr>
          <w:rFonts w:ascii="Times New Roman" w:hAnsi="Times New Roman" w:cs="Times New Roman"/>
          <w:b/>
          <w:i/>
          <w:color w:val="000000"/>
          <w:lang w:val="ro-RO" w:eastAsia="ro-RO"/>
        </w:rPr>
        <w:t>Sursa: INS</w:t>
      </w:r>
      <w:r>
        <w:rPr>
          <w:rFonts w:ascii="Times New Roman" w:hAnsi="Times New Roman" w:cs="Times New Roman"/>
          <w:b/>
          <w:bCs/>
          <w:i/>
          <w:iCs/>
          <w:lang w:val="ro-RO"/>
        </w:rPr>
        <w:t>)</w:t>
      </w:r>
    </w:p>
    <w:p w:rsidR="004D1086" w:rsidRDefault="004D1086">
      <w:pPr>
        <w:spacing w:after="0" w:line="240" w:lineRule="auto"/>
        <w:jc w:val="center"/>
        <w:rPr>
          <w:rFonts w:ascii="Times New Roman" w:hAnsi="Times New Roman" w:cs="Times New Roman"/>
          <w:b/>
          <w:bCs/>
          <w:i/>
          <w:iCs/>
          <w:lang w:val="ro-RO"/>
        </w:rPr>
      </w:pPr>
    </w:p>
    <w:p w:rsidR="004D1086" w:rsidRDefault="006E0098">
      <w:pPr>
        <w:spacing w:after="0" w:line="240" w:lineRule="auto"/>
        <w:jc w:val="both"/>
        <w:rPr>
          <w:rFonts w:ascii="Times New Roman" w:hAnsi="Times New Roman" w:cs="Times New Roman"/>
          <w:lang w:val="ro-RO"/>
        </w:rPr>
      </w:pPr>
      <w:r>
        <w:rPr>
          <w:noProof/>
        </w:rPr>
        <w:drawing>
          <wp:inline distT="0" distB="0" distL="0" distR="0">
            <wp:extent cx="551815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D1086" w:rsidRDefault="004D1086">
      <w:pPr>
        <w:spacing w:after="0" w:line="240" w:lineRule="auto"/>
        <w:jc w:val="both"/>
        <w:rPr>
          <w:rFonts w:ascii="Times New Roman" w:hAnsi="Times New Roman" w:cs="Times New Roman"/>
          <w:lang w:val="ro-RO"/>
        </w:rPr>
      </w:pPr>
    </w:p>
    <w:p w:rsidR="004D1086" w:rsidRDefault="006E0098">
      <w:pPr>
        <w:spacing w:after="0" w:line="240" w:lineRule="auto"/>
        <w:rPr>
          <w:rFonts w:ascii="Times New Roman" w:hAnsi="Times New Roman" w:cs="Times New Roman"/>
          <w:b/>
          <w:bCs/>
          <w:i/>
          <w:iCs/>
          <w:lang w:val="ro-RO"/>
        </w:rPr>
      </w:pPr>
      <w:r>
        <w:rPr>
          <w:rFonts w:ascii="Times New Roman" w:hAnsi="Times New Roman" w:cs="Times New Roman"/>
          <w:b/>
          <w:bCs/>
          <w:i/>
          <w:iCs/>
          <w:lang w:val="ro-RO"/>
        </w:rPr>
        <w:t>Mortalitatea prin bolile cardiovasculare în anul 2020 (la 100.000 de locuitori)</w:t>
      </w:r>
    </w:p>
    <w:p w:rsidR="004D1086" w:rsidRDefault="004D1086">
      <w:pPr>
        <w:spacing w:after="0" w:line="240" w:lineRule="auto"/>
        <w:jc w:val="center"/>
        <w:rPr>
          <w:rFonts w:ascii="Times New Roman" w:hAnsi="Times New Roman" w:cs="Times New Roman"/>
          <w:b/>
          <w:bCs/>
          <w:i/>
          <w:iCs/>
          <w:lang w:val="ro-RO"/>
        </w:rPr>
      </w:pPr>
    </w:p>
    <w:tbl>
      <w:tblPr>
        <w:tblpPr w:leftFromText="180" w:rightFromText="180" w:vertAnchor="text" w:tblpX="1137" w:tblpY="100"/>
        <w:tblW w:w="3820" w:type="dxa"/>
        <w:tblInd w:w="-5" w:type="dxa"/>
        <w:tblLayout w:type="fixed"/>
        <w:tblLook w:val="04A0" w:firstRow="1" w:lastRow="0" w:firstColumn="1" w:lastColumn="0" w:noHBand="0" w:noVBand="1"/>
      </w:tblPr>
      <w:tblGrid>
        <w:gridCol w:w="3066"/>
        <w:gridCol w:w="754"/>
      </w:tblGrid>
      <w:tr w:rsidR="004D1086">
        <w:trPr>
          <w:trHeight w:val="280"/>
        </w:trPr>
        <w:tc>
          <w:tcPr>
            <w:tcW w:w="3065" w:type="dxa"/>
            <w:tcBorders>
              <w:top w:val="single" w:sz="4" w:space="0" w:color="000000"/>
              <w:left w:val="single" w:sz="4" w:space="0" w:color="000000"/>
              <w:bottom w:val="single" w:sz="4" w:space="0" w:color="000000"/>
              <w:right w:val="single" w:sz="4" w:space="0" w:color="000000"/>
            </w:tcBorders>
            <w:shd w:val="clear" w:color="auto" w:fill="E6E6E6"/>
          </w:tcPr>
          <w:p w:rsidR="004D1086" w:rsidRDefault="006E0098">
            <w:pPr>
              <w:widowControl w:val="0"/>
              <w:spacing w:after="0" w:line="240" w:lineRule="auto"/>
              <w:jc w:val="center"/>
              <w:rPr>
                <w:rFonts w:ascii="Times New Roman" w:eastAsia="Times New Roman" w:hAnsi="Times New Roman" w:cs="Times New Roman"/>
                <w:color w:val="000000"/>
                <w:sz w:val="26"/>
                <w:szCs w:val="26"/>
                <w:lang w:val="ro-RO" w:eastAsia="ro-RO"/>
              </w:rPr>
            </w:pPr>
            <w:r>
              <w:rPr>
                <w:rFonts w:ascii="Times New Roman" w:eastAsia="Times New Roman" w:hAnsi="Times New Roman" w:cs="Times New Roman"/>
                <w:color w:val="000000"/>
                <w:sz w:val="26"/>
                <w:szCs w:val="26"/>
                <w:lang w:val="ro-RO" w:eastAsia="ro-RO"/>
              </w:rPr>
              <w:t>Boli ale aparatului circulator</w:t>
            </w:r>
          </w:p>
        </w:tc>
        <w:tc>
          <w:tcPr>
            <w:tcW w:w="754" w:type="dxa"/>
            <w:tcBorders>
              <w:top w:val="single" w:sz="4" w:space="0" w:color="000000"/>
              <w:left w:val="single" w:sz="4" w:space="0" w:color="000000"/>
              <w:bottom w:val="single" w:sz="4" w:space="0" w:color="000000"/>
              <w:right w:val="single" w:sz="4" w:space="0" w:color="000000"/>
            </w:tcBorders>
            <w:shd w:val="clear" w:color="auto" w:fill="E6E6E6"/>
          </w:tcPr>
          <w:p w:rsidR="004D1086" w:rsidRDefault="006E0098">
            <w:pPr>
              <w:widowControl w:val="0"/>
              <w:spacing w:after="0" w:line="240" w:lineRule="auto"/>
              <w:jc w:val="center"/>
              <w:rPr>
                <w:rFonts w:ascii="Times New Roman" w:eastAsia="Times New Roman" w:hAnsi="Times New Roman" w:cs="Times New Roman"/>
                <w:sz w:val="26"/>
                <w:szCs w:val="26"/>
                <w:lang w:val="ro-RO" w:eastAsia="ro-RO"/>
              </w:rPr>
            </w:pPr>
            <w:r>
              <w:rPr>
                <w:rFonts w:ascii="Times New Roman" w:eastAsia="Times New Roman" w:hAnsi="Times New Roman" w:cs="Times New Roman"/>
                <w:sz w:val="26"/>
                <w:szCs w:val="26"/>
                <w:lang w:val="ro-RO" w:eastAsia="ro-RO"/>
              </w:rPr>
              <w:t>735,2</w:t>
            </w:r>
          </w:p>
        </w:tc>
      </w:tr>
      <w:tr w:rsidR="004D1086">
        <w:trPr>
          <w:trHeight w:val="280"/>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sz w:val="26"/>
                <w:szCs w:val="26"/>
                <w:lang w:val="ro-RO" w:eastAsia="ro-RO"/>
              </w:rPr>
            </w:pPr>
            <w:r>
              <w:rPr>
                <w:rFonts w:ascii="Times New Roman" w:eastAsia="Times New Roman" w:hAnsi="Times New Roman" w:cs="Times New Roman"/>
                <w:sz w:val="26"/>
                <w:szCs w:val="26"/>
                <w:lang w:val="ro-RO" w:eastAsia="ro-RO"/>
              </w:rPr>
              <w:t>din care:</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4D1086">
            <w:pPr>
              <w:widowControl w:val="0"/>
              <w:spacing w:after="0" w:line="240" w:lineRule="auto"/>
              <w:jc w:val="center"/>
              <w:rPr>
                <w:rFonts w:ascii="Times New Roman" w:eastAsia="Times New Roman" w:hAnsi="Times New Roman" w:cs="Times New Roman"/>
                <w:sz w:val="26"/>
                <w:szCs w:val="26"/>
                <w:lang w:val="ro-RO" w:eastAsia="ro-RO"/>
              </w:rPr>
            </w:pPr>
          </w:p>
        </w:tc>
      </w:tr>
      <w:tr w:rsidR="004D1086">
        <w:trPr>
          <w:trHeight w:val="280"/>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color w:val="000000"/>
                <w:sz w:val="26"/>
                <w:szCs w:val="26"/>
                <w:lang w:val="ro-RO" w:eastAsia="ro-RO"/>
              </w:rPr>
            </w:pPr>
            <w:r>
              <w:rPr>
                <w:rFonts w:ascii="Times New Roman" w:eastAsia="Times New Roman" w:hAnsi="Times New Roman" w:cs="Times New Roman"/>
                <w:color w:val="000000"/>
                <w:sz w:val="26"/>
                <w:szCs w:val="26"/>
                <w:lang w:val="ro-RO" w:eastAsia="ro-RO"/>
              </w:rPr>
              <w:t>Boli cerebro-vasculare</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185,7</w:t>
            </w:r>
          </w:p>
        </w:tc>
      </w:tr>
      <w:tr w:rsidR="004D1086">
        <w:trPr>
          <w:trHeight w:val="280"/>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color w:val="000000"/>
                <w:sz w:val="26"/>
                <w:szCs w:val="26"/>
                <w:lang w:val="ro-RO" w:eastAsia="ro-RO"/>
              </w:rPr>
            </w:pPr>
            <w:r>
              <w:rPr>
                <w:rFonts w:ascii="Times New Roman" w:eastAsia="Times New Roman" w:hAnsi="Times New Roman" w:cs="Times New Roman"/>
                <w:color w:val="000000"/>
                <w:sz w:val="26"/>
                <w:szCs w:val="26"/>
                <w:lang w:val="ro-RO" w:eastAsia="ro-RO"/>
              </w:rPr>
              <w:t>Hipertensiune arterială</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sz w:val="26"/>
                <w:szCs w:val="26"/>
                <w:lang w:val="ro-RO" w:eastAsia="ro-RO"/>
              </w:rPr>
            </w:pPr>
            <w:r>
              <w:rPr>
                <w:rFonts w:ascii="Times New Roman" w:eastAsia="Times New Roman" w:hAnsi="Times New Roman" w:cs="Times New Roman"/>
                <w:sz w:val="26"/>
                <w:szCs w:val="26"/>
                <w:lang w:val="ro-RO" w:eastAsia="ro-RO"/>
              </w:rPr>
              <w:t>168,2</w:t>
            </w:r>
          </w:p>
        </w:tc>
      </w:tr>
      <w:tr w:rsidR="004D1086">
        <w:trPr>
          <w:trHeight w:val="280"/>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color w:val="000000"/>
                <w:sz w:val="26"/>
                <w:szCs w:val="26"/>
                <w:lang w:val="ro-RO" w:eastAsia="ro-RO"/>
              </w:rPr>
            </w:pPr>
            <w:r>
              <w:rPr>
                <w:rFonts w:ascii="Times New Roman" w:eastAsia="Times New Roman" w:hAnsi="Times New Roman" w:cs="Times New Roman"/>
                <w:color w:val="000000"/>
                <w:sz w:val="26"/>
                <w:szCs w:val="26"/>
                <w:lang w:val="ro-RO" w:eastAsia="ro-RO"/>
              </w:rPr>
              <w:t xml:space="preserve">Infarctul acut al </w:t>
            </w:r>
            <w:r>
              <w:rPr>
                <w:rFonts w:ascii="Times New Roman" w:eastAsia="Times New Roman" w:hAnsi="Times New Roman" w:cs="Times New Roman"/>
                <w:color w:val="000000"/>
                <w:sz w:val="26"/>
                <w:szCs w:val="26"/>
                <w:lang w:val="ro-RO" w:eastAsia="ro-RO"/>
              </w:rPr>
              <w:t>miocardului</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sz w:val="26"/>
                <w:szCs w:val="26"/>
                <w:lang w:val="ro-RO" w:eastAsia="ro-RO"/>
              </w:rPr>
            </w:pPr>
            <w:r>
              <w:rPr>
                <w:rFonts w:ascii="Times New Roman" w:eastAsia="Times New Roman" w:hAnsi="Times New Roman" w:cs="Times New Roman"/>
                <w:sz w:val="26"/>
                <w:szCs w:val="26"/>
                <w:lang w:val="ro-RO" w:eastAsia="ro-RO"/>
              </w:rPr>
              <w:t>90,9</w:t>
            </w:r>
          </w:p>
        </w:tc>
      </w:tr>
      <w:tr w:rsidR="004D1086">
        <w:trPr>
          <w:trHeight w:val="250"/>
        </w:trPr>
        <w:tc>
          <w:tcPr>
            <w:tcW w:w="3065"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color w:val="000000"/>
                <w:sz w:val="26"/>
                <w:szCs w:val="26"/>
                <w:lang w:val="ro-RO" w:eastAsia="ro-RO"/>
              </w:rPr>
            </w:pPr>
            <w:r>
              <w:rPr>
                <w:rFonts w:ascii="Times New Roman" w:eastAsia="Times New Roman" w:hAnsi="Times New Roman" w:cs="Times New Roman"/>
                <w:color w:val="000000"/>
                <w:sz w:val="26"/>
                <w:szCs w:val="26"/>
                <w:lang w:val="ro-RO" w:eastAsia="ro-RO"/>
              </w:rPr>
              <w:t>Alte cardiopatii ischemice</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4D1086" w:rsidRDefault="006E0098">
            <w:pPr>
              <w:widowControl w:val="0"/>
              <w:spacing w:after="0" w:line="240" w:lineRule="auto"/>
              <w:jc w:val="center"/>
              <w:rPr>
                <w:rFonts w:ascii="Times New Roman" w:eastAsia="Times New Roman" w:hAnsi="Times New Roman" w:cs="Times New Roman"/>
                <w:sz w:val="26"/>
                <w:szCs w:val="26"/>
                <w:lang w:val="ro-RO" w:eastAsia="ro-RO"/>
              </w:rPr>
            </w:pPr>
            <w:r>
              <w:rPr>
                <w:rFonts w:ascii="Times New Roman" w:eastAsia="Times New Roman" w:hAnsi="Times New Roman" w:cs="Times New Roman"/>
                <w:sz w:val="26"/>
                <w:szCs w:val="26"/>
                <w:lang w:val="ro-RO" w:eastAsia="ro-RO"/>
              </w:rPr>
              <w:t>160,</w:t>
            </w:r>
            <w:r>
              <w:rPr>
                <w:rFonts w:ascii="Times New Roman" w:eastAsia="Times New Roman" w:hAnsi="Times New Roman" w:cs="Times New Roman"/>
                <w:sz w:val="26"/>
                <w:szCs w:val="26"/>
                <w:lang w:val="ro-RO" w:eastAsia="ro-RO"/>
              </w:rPr>
              <w:lastRenderedPageBreak/>
              <w:t>3</w:t>
            </w:r>
          </w:p>
        </w:tc>
      </w:tr>
    </w:tbl>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Cs/>
          <w:iCs/>
          <w:lang w:val="ro-RO"/>
        </w:rPr>
      </w:pPr>
    </w:p>
    <w:p w:rsidR="004D1086" w:rsidRDefault="004D1086">
      <w:pPr>
        <w:spacing w:after="0" w:line="240" w:lineRule="auto"/>
        <w:jc w:val="both"/>
        <w:rPr>
          <w:rFonts w:ascii="Times New Roman" w:hAnsi="Times New Roman" w:cs="Times New Roman"/>
          <w:bCs/>
          <w:iCs/>
          <w:lang w:val="ro-RO"/>
        </w:rPr>
      </w:pPr>
    </w:p>
    <w:p w:rsidR="004D1086" w:rsidRDefault="004D1086">
      <w:pPr>
        <w:spacing w:after="0" w:line="240" w:lineRule="auto"/>
        <w:jc w:val="both"/>
        <w:rPr>
          <w:rFonts w:ascii="Times New Roman" w:hAnsi="Times New Roman" w:cs="Times New Roman"/>
          <w:bCs/>
          <w:iCs/>
          <w:lang w:val="ro-RO"/>
        </w:rPr>
      </w:pPr>
    </w:p>
    <w:p w:rsidR="004D1086" w:rsidRDefault="004D1086">
      <w:pPr>
        <w:spacing w:after="0" w:line="240" w:lineRule="auto"/>
        <w:jc w:val="both"/>
        <w:rPr>
          <w:rFonts w:ascii="Times New Roman" w:hAnsi="Times New Roman" w:cs="Times New Roman"/>
          <w:bCs/>
          <w:iCs/>
          <w:lang w:val="ro-RO"/>
        </w:rPr>
      </w:pPr>
    </w:p>
    <w:p w:rsidR="004D1086" w:rsidRDefault="004D1086">
      <w:pPr>
        <w:spacing w:after="0" w:line="240" w:lineRule="auto"/>
        <w:jc w:val="both"/>
        <w:rPr>
          <w:rFonts w:ascii="Times New Roman" w:hAnsi="Times New Roman" w:cs="Times New Roman"/>
          <w:bCs/>
          <w:iCs/>
          <w:lang w:val="ro-RO"/>
        </w:rPr>
      </w:pPr>
    </w:p>
    <w:p w:rsidR="004D1086" w:rsidRDefault="004D1086">
      <w:pPr>
        <w:spacing w:after="0" w:line="240" w:lineRule="auto"/>
        <w:jc w:val="both"/>
        <w:rPr>
          <w:rFonts w:ascii="Times New Roman" w:hAnsi="Times New Roman" w:cs="Times New Roman"/>
          <w:bCs/>
          <w:iCs/>
          <w:lang w:val="ro-RO"/>
        </w:rPr>
      </w:pPr>
    </w:p>
    <w:p w:rsidR="004D1086" w:rsidRDefault="004D1086">
      <w:pPr>
        <w:spacing w:after="0" w:line="240" w:lineRule="auto"/>
        <w:jc w:val="both"/>
        <w:rPr>
          <w:rFonts w:ascii="Times New Roman" w:hAnsi="Times New Roman" w:cs="Times New Roman"/>
          <w:bCs/>
          <w:iCs/>
          <w:lang w:val="ro-RO"/>
        </w:rPr>
      </w:pPr>
    </w:p>
    <w:p w:rsidR="004D1086" w:rsidRDefault="004D1086">
      <w:pPr>
        <w:spacing w:after="0" w:line="240" w:lineRule="auto"/>
        <w:jc w:val="both"/>
        <w:rPr>
          <w:rFonts w:ascii="Times New Roman" w:hAnsi="Times New Roman" w:cs="Times New Roman"/>
          <w:bCs/>
          <w:iCs/>
          <w:lang w:val="ro-RO"/>
        </w:rPr>
      </w:pPr>
    </w:p>
    <w:p w:rsidR="004D1086" w:rsidRDefault="006E0098">
      <w:pPr>
        <w:spacing w:after="0" w:line="240" w:lineRule="auto"/>
        <w:jc w:val="both"/>
        <w:rPr>
          <w:rFonts w:ascii="Times New Roman" w:hAnsi="Times New Roman" w:cs="Times New Roman"/>
          <w:bCs/>
          <w:iCs/>
          <w:lang w:val="ro-RO"/>
        </w:rPr>
      </w:pPr>
      <w:r>
        <w:rPr>
          <w:rFonts w:ascii="Times New Roman" w:hAnsi="Times New Roman" w:cs="Times New Roman"/>
          <w:lang w:val="ro-RO"/>
        </w:rPr>
        <w:t xml:space="preserve">Regiunile de dezvoltare Sud-Muntenia, Nord-Est și Sud-Est au raportat cel mai mare număr de decese datorate bolilor inimii și ale vaselor de sânge </w:t>
      </w:r>
      <w:r>
        <w:rPr>
          <w:rFonts w:ascii="Times New Roman" w:hAnsi="Times New Roman" w:cs="Times New Roman"/>
          <w:bCs/>
          <w:iCs/>
          <w:lang w:val="ro-RO"/>
        </w:rPr>
        <w:t>(</w:t>
      </w:r>
      <w:r>
        <w:rPr>
          <w:rFonts w:ascii="Times New Roman" w:hAnsi="Times New Roman" w:cs="Times New Roman"/>
          <w:bCs/>
          <w:i/>
          <w:iCs/>
          <w:lang w:val="ro-RO"/>
        </w:rPr>
        <w:t>vezi figura de mai jos</w:t>
      </w:r>
      <w:r>
        <w:rPr>
          <w:rFonts w:ascii="Times New Roman" w:hAnsi="Times New Roman" w:cs="Times New Roman"/>
          <w:bCs/>
          <w:iCs/>
          <w:lang w:val="ro-RO"/>
        </w:rPr>
        <w:t>):</w:t>
      </w:r>
    </w:p>
    <w:p w:rsidR="004D1086" w:rsidRDefault="004D1086">
      <w:pPr>
        <w:spacing w:after="0" w:line="240" w:lineRule="auto"/>
        <w:jc w:val="both"/>
        <w:rPr>
          <w:rFonts w:ascii="Times New Roman" w:hAnsi="Times New Roman" w:cs="Times New Roman"/>
          <w:b/>
          <w:i/>
          <w:lang w:val="ro-RO"/>
        </w:rPr>
      </w:pPr>
    </w:p>
    <w:p w:rsidR="004D1086" w:rsidRDefault="004D1086">
      <w:pPr>
        <w:spacing w:after="0" w:line="240" w:lineRule="auto"/>
        <w:jc w:val="both"/>
        <w:rPr>
          <w:rFonts w:ascii="Times New Roman" w:hAnsi="Times New Roman" w:cs="Times New Roman"/>
          <w:b/>
          <w:i/>
          <w:lang w:val="ro-RO"/>
        </w:rPr>
      </w:pPr>
    </w:p>
    <w:p w:rsidR="004D1086" w:rsidRDefault="004D1086">
      <w:pPr>
        <w:spacing w:after="0" w:line="240" w:lineRule="auto"/>
        <w:jc w:val="both"/>
        <w:rPr>
          <w:rFonts w:ascii="Times New Roman" w:hAnsi="Times New Roman" w:cs="Times New Roman"/>
          <w:b/>
          <w:i/>
          <w:lang w:val="ro-RO"/>
        </w:rPr>
      </w:pPr>
    </w:p>
    <w:p w:rsidR="004D1086" w:rsidRDefault="004D1086">
      <w:pPr>
        <w:spacing w:after="0" w:line="240" w:lineRule="auto"/>
        <w:jc w:val="both"/>
        <w:rPr>
          <w:rFonts w:ascii="Times New Roman" w:hAnsi="Times New Roman" w:cs="Times New Roman"/>
          <w:b/>
          <w:i/>
          <w:lang w:val="ro-RO"/>
        </w:rPr>
      </w:pPr>
    </w:p>
    <w:p w:rsidR="004D1086" w:rsidRDefault="006E0098">
      <w:pPr>
        <w:spacing w:after="0" w:line="240" w:lineRule="auto"/>
        <w:jc w:val="center"/>
        <w:rPr>
          <w:rFonts w:ascii="Times New Roman" w:hAnsi="Times New Roman" w:cs="Times New Roman"/>
          <w:b/>
          <w:i/>
          <w:lang w:val="ro-RO"/>
        </w:rPr>
      </w:pPr>
      <w:r>
        <w:rPr>
          <w:rFonts w:ascii="Times New Roman" w:hAnsi="Times New Roman" w:cs="Times New Roman"/>
          <w:b/>
          <w:i/>
          <w:lang w:val="ro-RO"/>
        </w:rPr>
        <w:t>Repartiția</w:t>
      </w:r>
      <w:r>
        <w:rPr>
          <w:rFonts w:ascii="Times New Roman" w:hAnsi="Times New Roman" w:cs="Times New Roman"/>
          <w:b/>
          <w:i/>
          <w:lang w:val="ro-RO"/>
        </w:rPr>
        <w:t xml:space="preserve"> pe regiuni a deceselor prin boli cardiovasculare, în anul 2020 (Sursa: INS)</w:t>
      </w:r>
    </w:p>
    <w:p w:rsidR="004D1086" w:rsidRDefault="006E0098">
      <w:pPr>
        <w:spacing w:after="0" w:line="240" w:lineRule="auto"/>
        <w:jc w:val="center"/>
        <w:rPr>
          <w:rFonts w:ascii="Times New Roman" w:hAnsi="Times New Roman" w:cs="Times New Roman"/>
          <w:lang w:val="ro-RO"/>
        </w:rPr>
      </w:pPr>
      <w:r>
        <w:rPr>
          <w:noProof/>
        </w:rPr>
        <w:drawing>
          <wp:inline distT="0" distB="0" distL="0" distR="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D1086" w:rsidRDefault="004D1086">
      <w:pPr>
        <w:spacing w:after="0" w:line="240" w:lineRule="auto"/>
        <w:jc w:val="both"/>
        <w:rPr>
          <w:rFonts w:ascii="Times New Roman" w:hAnsi="Times New Roman" w:cs="Times New Roman"/>
          <w:lang w:val="ro-RO"/>
        </w:rPr>
      </w:pPr>
    </w:p>
    <w:p w:rsidR="004D1086" w:rsidRDefault="006E0098">
      <w:pPr>
        <w:tabs>
          <w:tab w:val="left" w:pos="2167"/>
          <w:tab w:val="left" w:pos="3547"/>
          <w:tab w:val="left" w:pos="4927"/>
          <w:tab w:val="left" w:pos="6307"/>
          <w:tab w:val="left" w:pos="7687"/>
        </w:tabs>
        <w:spacing w:after="0" w:line="240" w:lineRule="auto"/>
        <w:ind w:left="93"/>
        <w:jc w:val="center"/>
        <w:rPr>
          <w:rFonts w:ascii="Times New Roman" w:hAnsi="Times New Roman" w:cs="Times New Roman"/>
          <w:b/>
          <w:i/>
          <w:color w:val="000000"/>
          <w:lang w:val="ro-RO" w:eastAsia="ro-RO"/>
        </w:rPr>
      </w:pPr>
      <w:r>
        <w:rPr>
          <w:rFonts w:ascii="Times New Roman" w:hAnsi="Times New Roman" w:cs="Times New Roman"/>
          <w:b/>
          <w:i/>
          <w:color w:val="000000"/>
          <w:lang w:val="ro-RO" w:eastAsia="ro-RO"/>
        </w:rPr>
        <w:t>(Sursa: INS)</w:t>
      </w:r>
    </w:p>
    <w:p w:rsidR="004D1086" w:rsidRDefault="004D1086">
      <w:pPr>
        <w:tabs>
          <w:tab w:val="left" w:pos="2167"/>
          <w:tab w:val="left" w:pos="3547"/>
          <w:tab w:val="left" w:pos="4927"/>
          <w:tab w:val="left" w:pos="6307"/>
          <w:tab w:val="left" w:pos="7687"/>
        </w:tabs>
        <w:spacing w:after="0" w:line="240" w:lineRule="auto"/>
        <w:ind w:left="93"/>
        <w:jc w:val="both"/>
        <w:rPr>
          <w:rFonts w:ascii="Times New Roman" w:hAnsi="Times New Roman" w:cs="Times New Roman"/>
          <w:b/>
          <w:i/>
          <w:color w:val="000000"/>
          <w:lang w:val="ro-RO" w:eastAsia="ro-RO"/>
        </w:rPr>
      </w:pPr>
    </w:p>
    <w:p w:rsidR="004D1086" w:rsidRDefault="004D1086">
      <w:pPr>
        <w:tabs>
          <w:tab w:val="left" w:pos="2167"/>
          <w:tab w:val="left" w:pos="3547"/>
          <w:tab w:val="left" w:pos="4927"/>
          <w:tab w:val="left" w:pos="6307"/>
          <w:tab w:val="left" w:pos="7687"/>
        </w:tabs>
        <w:spacing w:after="0" w:line="240" w:lineRule="auto"/>
        <w:ind w:left="93"/>
        <w:jc w:val="both"/>
        <w:rPr>
          <w:rFonts w:ascii="Times New Roman" w:hAnsi="Times New Roman" w:cs="Times New Roman"/>
          <w:b/>
          <w:i/>
          <w:color w:val="000000"/>
          <w:lang w:val="ro-RO" w:eastAsia="ro-RO"/>
        </w:rPr>
      </w:pPr>
    </w:p>
    <w:p w:rsidR="004D1086" w:rsidRDefault="006E0098">
      <w:pPr>
        <w:spacing w:after="0" w:line="240" w:lineRule="auto"/>
        <w:jc w:val="center"/>
        <w:rPr>
          <w:rFonts w:ascii="Times New Roman" w:hAnsi="Times New Roman" w:cs="Times New Roman"/>
          <w:b/>
          <w:bCs/>
          <w:i/>
          <w:iCs/>
          <w:color w:val="000000"/>
          <w:lang w:val="ro-RO"/>
        </w:rPr>
      </w:pPr>
      <w:r>
        <w:rPr>
          <w:rFonts w:ascii="Times New Roman" w:hAnsi="Times New Roman" w:cs="Times New Roman"/>
          <w:b/>
          <w:bCs/>
          <w:i/>
          <w:iCs/>
          <w:color w:val="000000"/>
          <w:lang w:val="ro-RO"/>
        </w:rPr>
        <w:t>Mortalitatea standardizată prin boli ale aparatului circulator pe quartile, în anul 2020 (la 100.000 locuitori)</w:t>
      </w:r>
    </w:p>
    <w:p w:rsidR="004D1086" w:rsidRDefault="006E0098">
      <w:pPr>
        <w:spacing w:after="0" w:line="240" w:lineRule="auto"/>
        <w:jc w:val="both"/>
        <w:rPr>
          <w:rFonts w:ascii="Times New Roman" w:hAnsi="Times New Roman" w:cs="Times New Roman"/>
          <w:b/>
          <w:bCs/>
          <w:i/>
          <w:iCs/>
          <w:lang w:val="ro-RO"/>
        </w:rPr>
      </w:pPr>
      <w:r>
        <w:rPr>
          <w:rFonts w:ascii="Times New Roman" w:hAnsi="Times New Roman" w:cs="Times New Roman"/>
          <w:b/>
          <w:bCs/>
          <w:i/>
          <w:iCs/>
          <w:noProof/>
        </w:rPr>
        <w:drawing>
          <wp:anchor distT="0" distB="0" distL="0" distR="0" simplePos="0" relativeHeight="14" behindDoc="1" locked="0" layoutInCell="0" allowOverlap="1">
            <wp:simplePos x="0" y="0"/>
            <wp:positionH relativeFrom="column">
              <wp:posOffset>1789430</wp:posOffset>
            </wp:positionH>
            <wp:positionV relativeFrom="paragraph">
              <wp:posOffset>3175</wp:posOffset>
            </wp:positionV>
            <wp:extent cx="4164330" cy="2959100"/>
            <wp:effectExtent l="0" t="0" r="0" b="0"/>
            <wp:wrapNone/>
            <wp:docPr id="15" name="Imagine 10"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0" descr="O imagine care conține hartă&#10;&#10;Descriere generată automat"/>
                    <pic:cNvPicPr>
                      <a:picLocks noChangeAspect="1" noChangeArrowheads="1"/>
                    </pic:cNvPicPr>
                  </pic:nvPicPr>
                  <pic:blipFill>
                    <a:blip r:embed="rId36"/>
                    <a:stretch>
                      <a:fillRect/>
                    </a:stretch>
                  </pic:blipFill>
                  <pic:spPr bwMode="auto">
                    <a:xfrm>
                      <a:off x="0" y="0"/>
                      <a:ext cx="4164330" cy="2959100"/>
                    </a:xfrm>
                    <a:prstGeom prst="rect">
                      <a:avLst/>
                    </a:prstGeom>
                  </pic:spPr>
                </pic:pic>
              </a:graphicData>
            </a:graphic>
          </wp:anchor>
        </w:drawing>
      </w:r>
    </w:p>
    <w:tbl>
      <w:tblPr>
        <w:tblW w:w="3200" w:type="dxa"/>
        <w:tblLayout w:type="fixed"/>
        <w:tblLook w:val="04A0" w:firstRow="1" w:lastRow="0" w:firstColumn="1" w:lastColumn="0" w:noHBand="0" w:noVBand="1"/>
      </w:tblPr>
      <w:tblGrid>
        <w:gridCol w:w="1041"/>
        <w:gridCol w:w="341"/>
        <w:gridCol w:w="1139"/>
        <w:gridCol w:w="679"/>
      </w:tblGrid>
      <w:tr w:rsidR="004D1086">
        <w:trPr>
          <w:trHeight w:val="261"/>
        </w:trPr>
        <w:tc>
          <w:tcPr>
            <w:tcW w:w="1040" w:type="dxa"/>
            <w:vAlign w:val="bottom"/>
          </w:tcPr>
          <w:p w:rsidR="004D1086" w:rsidRDefault="004D1086">
            <w:pPr>
              <w:widowControl w:val="0"/>
              <w:spacing w:after="0" w:line="240" w:lineRule="auto"/>
              <w:jc w:val="both"/>
              <w:rPr>
                <w:rFonts w:ascii="Times New Roman" w:hAnsi="Times New Roman" w:cs="Times New Roman"/>
                <w:b/>
                <w:bCs/>
                <w:i/>
                <w:iCs/>
                <w:lang w:val="ro-RO"/>
              </w:rPr>
            </w:pPr>
          </w:p>
        </w:tc>
        <w:tc>
          <w:tcPr>
            <w:tcW w:w="341" w:type="dxa"/>
            <w:vAlign w:val="bottom"/>
          </w:tcPr>
          <w:p w:rsidR="004D1086" w:rsidRDefault="004D1086">
            <w:pPr>
              <w:widowControl w:val="0"/>
              <w:spacing w:after="0" w:line="240" w:lineRule="auto"/>
              <w:jc w:val="both"/>
              <w:rPr>
                <w:rFonts w:ascii="Times New Roman" w:hAnsi="Times New Roman" w:cs="Times New Roman"/>
                <w:lang w:val="ro-RO" w:eastAsia="ro-RO"/>
              </w:rPr>
            </w:pPr>
          </w:p>
        </w:tc>
        <w:tc>
          <w:tcPr>
            <w:tcW w:w="1139" w:type="dxa"/>
            <w:vAlign w:val="bottom"/>
          </w:tcPr>
          <w:p w:rsidR="004D1086" w:rsidRDefault="006E0098">
            <w:pPr>
              <w:widowControl w:val="0"/>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Legenda</w:t>
            </w:r>
          </w:p>
        </w:tc>
        <w:tc>
          <w:tcPr>
            <w:tcW w:w="679" w:type="dxa"/>
            <w:vAlign w:val="bottom"/>
          </w:tcPr>
          <w:p w:rsidR="004D1086" w:rsidRDefault="004D1086">
            <w:pPr>
              <w:widowControl w:val="0"/>
              <w:spacing w:after="0" w:line="240" w:lineRule="auto"/>
              <w:jc w:val="both"/>
              <w:rPr>
                <w:rFonts w:ascii="Times New Roman" w:eastAsia="Times New Roman" w:hAnsi="Times New Roman" w:cs="Times New Roman"/>
                <w:lang w:val="ro-RO" w:eastAsia="ro-RO"/>
              </w:rPr>
            </w:pPr>
          </w:p>
        </w:tc>
      </w:tr>
      <w:tr w:rsidR="004D1086">
        <w:trPr>
          <w:trHeight w:val="261"/>
        </w:trPr>
        <w:tc>
          <w:tcPr>
            <w:tcW w:w="1040" w:type="dxa"/>
            <w:vAlign w:val="bottom"/>
          </w:tcPr>
          <w:p w:rsidR="004D1086" w:rsidRDefault="006E0098">
            <w:pPr>
              <w:widowControl w:val="0"/>
              <w:spacing w:after="0" w:line="240" w:lineRule="auto"/>
              <w:jc w:val="both"/>
              <w:rPr>
                <w:rFonts w:ascii="Times New Roman" w:eastAsia="Times New Roman" w:hAnsi="Times New Roman" w:cs="Times New Roman"/>
                <w:color w:val="000000"/>
                <w:lang w:val="ro-RO" w:eastAsia="ro-RO"/>
              </w:rPr>
            </w:pPr>
            <w:r>
              <w:rPr>
                <w:rFonts w:ascii="Times New Roman" w:eastAsia="Times New Roman" w:hAnsi="Times New Roman" w:cs="Times New Roman"/>
                <w:color w:val="000000"/>
                <w:lang w:val="ro-RO" w:eastAsia="ro-RO"/>
              </w:rPr>
              <w:t>272,50</w:t>
            </w:r>
          </w:p>
        </w:tc>
        <w:tc>
          <w:tcPr>
            <w:tcW w:w="341" w:type="dxa"/>
            <w:vAlign w:val="bottom"/>
          </w:tcPr>
          <w:p w:rsidR="004D1086" w:rsidRDefault="006E0098">
            <w:pPr>
              <w:widowControl w:val="0"/>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w:t>
            </w:r>
          </w:p>
        </w:tc>
        <w:tc>
          <w:tcPr>
            <w:tcW w:w="1139" w:type="dxa"/>
            <w:vAlign w:val="bottom"/>
          </w:tcPr>
          <w:p w:rsidR="004D1086" w:rsidRDefault="006E0098">
            <w:pPr>
              <w:widowControl w:val="0"/>
              <w:spacing w:after="0" w:line="240" w:lineRule="auto"/>
              <w:jc w:val="both"/>
              <w:rPr>
                <w:rFonts w:ascii="Times New Roman" w:eastAsia="Times New Roman" w:hAnsi="Times New Roman" w:cs="Times New Roman"/>
                <w:color w:val="000000"/>
                <w:lang w:val="ro-RO" w:eastAsia="ro-RO"/>
              </w:rPr>
            </w:pPr>
            <w:r>
              <w:rPr>
                <w:rFonts w:ascii="Times New Roman" w:eastAsia="Times New Roman" w:hAnsi="Times New Roman" w:cs="Times New Roman"/>
                <w:color w:val="000000"/>
                <w:lang w:val="ro-RO" w:eastAsia="ro-RO"/>
              </w:rPr>
              <w:t>429,03</w:t>
            </w:r>
          </w:p>
        </w:tc>
        <w:tc>
          <w:tcPr>
            <w:tcW w:w="679" w:type="dxa"/>
            <w:shd w:val="clear" w:color="auto" w:fill="FFCCFF"/>
            <w:vAlign w:val="center"/>
          </w:tcPr>
          <w:p w:rsidR="004D1086" w:rsidRDefault="004D1086">
            <w:pPr>
              <w:widowControl w:val="0"/>
              <w:spacing w:after="0" w:line="240" w:lineRule="auto"/>
              <w:jc w:val="both"/>
              <w:rPr>
                <w:rFonts w:ascii="Times New Roman" w:eastAsia="Times New Roman" w:hAnsi="Times New Roman" w:cs="Times New Roman"/>
                <w:color w:val="000000"/>
                <w:lang w:val="ro-RO" w:eastAsia="ro-RO"/>
              </w:rPr>
            </w:pPr>
          </w:p>
        </w:tc>
      </w:tr>
      <w:tr w:rsidR="004D1086">
        <w:trPr>
          <w:trHeight w:val="261"/>
        </w:trPr>
        <w:tc>
          <w:tcPr>
            <w:tcW w:w="1040" w:type="dxa"/>
            <w:vAlign w:val="bottom"/>
          </w:tcPr>
          <w:p w:rsidR="004D1086" w:rsidRDefault="006E0098">
            <w:pPr>
              <w:widowControl w:val="0"/>
              <w:spacing w:after="0" w:line="240" w:lineRule="auto"/>
              <w:jc w:val="both"/>
              <w:rPr>
                <w:rFonts w:ascii="Times New Roman" w:eastAsia="Times New Roman" w:hAnsi="Times New Roman" w:cs="Times New Roman"/>
                <w:color w:val="000000"/>
                <w:lang w:val="ro-RO" w:eastAsia="ro-RO"/>
              </w:rPr>
            </w:pPr>
            <w:r>
              <w:rPr>
                <w:rFonts w:ascii="Times New Roman" w:eastAsia="Times New Roman" w:hAnsi="Times New Roman" w:cs="Times New Roman"/>
                <w:color w:val="000000"/>
                <w:lang w:val="ro-RO" w:eastAsia="ro-RO"/>
              </w:rPr>
              <w:t>429,03</w:t>
            </w:r>
          </w:p>
        </w:tc>
        <w:tc>
          <w:tcPr>
            <w:tcW w:w="341" w:type="dxa"/>
            <w:vAlign w:val="bottom"/>
          </w:tcPr>
          <w:p w:rsidR="004D1086" w:rsidRDefault="006E0098">
            <w:pPr>
              <w:widowControl w:val="0"/>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w:t>
            </w:r>
          </w:p>
        </w:tc>
        <w:tc>
          <w:tcPr>
            <w:tcW w:w="1139" w:type="dxa"/>
            <w:vAlign w:val="bottom"/>
          </w:tcPr>
          <w:p w:rsidR="004D1086" w:rsidRDefault="006E0098">
            <w:pPr>
              <w:widowControl w:val="0"/>
              <w:spacing w:after="0" w:line="240" w:lineRule="auto"/>
              <w:jc w:val="both"/>
              <w:rPr>
                <w:rFonts w:ascii="Times New Roman" w:eastAsia="Times New Roman" w:hAnsi="Times New Roman" w:cs="Times New Roman"/>
                <w:color w:val="000000"/>
                <w:lang w:val="ro-RO" w:eastAsia="ro-RO"/>
              </w:rPr>
            </w:pPr>
            <w:r>
              <w:rPr>
                <w:rFonts w:ascii="Times New Roman" w:eastAsia="Times New Roman" w:hAnsi="Times New Roman" w:cs="Times New Roman"/>
                <w:color w:val="000000"/>
                <w:lang w:val="ro-RO" w:eastAsia="ro-RO"/>
              </w:rPr>
              <w:t>467,00</w:t>
            </w:r>
          </w:p>
        </w:tc>
        <w:tc>
          <w:tcPr>
            <w:tcW w:w="679" w:type="dxa"/>
            <w:shd w:val="clear" w:color="auto" w:fill="FF00FF"/>
            <w:vAlign w:val="center"/>
          </w:tcPr>
          <w:p w:rsidR="004D1086" w:rsidRDefault="004D1086">
            <w:pPr>
              <w:widowControl w:val="0"/>
              <w:spacing w:after="0" w:line="240" w:lineRule="auto"/>
              <w:jc w:val="both"/>
              <w:rPr>
                <w:rFonts w:ascii="Times New Roman" w:eastAsia="Times New Roman" w:hAnsi="Times New Roman" w:cs="Times New Roman"/>
                <w:color w:val="000000"/>
                <w:lang w:val="ro-RO" w:eastAsia="ro-RO"/>
              </w:rPr>
            </w:pPr>
          </w:p>
        </w:tc>
      </w:tr>
      <w:tr w:rsidR="004D1086">
        <w:trPr>
          <w:trHeight w:val="261"/>
        </w:trPr>
        <w:tc>
          <w:tcPr>
            <w:tcW w:w="1040" w:type="dxa"/>
            <w:vAlign w:val="bottom"/>
          </w:tcPr>
          <w:p w:rsidR="004D1086" w:rsidRDefault="006E0098">
            <w:pPr>
              <w:widowControl w:val="0"/>
              <w:spacing w:after="0" w:line="240" w:lineRule="auto"/>
              <w:jc w:val="both"/>
              <w:rPr>
                <w:rFonts w:ascii="Times New Roman" w:eastAsia="Times New Roman" w:hAnsi="Times New Roman" w:cs="Times New Roman"/>
                <w:color w:val="000000"/>
                <w:lang w:val="ro-RO" w:eastAsia="ro-RO"/>
              </w:rPr>
            </w:pPr>
            <w:r>
              <w:rPr>
                <w:rFonts w:ascii="Times New Roman" w:eastAsia="Times New Roman" w:hAnsi="Times New Roman" w:cs="Times New Roman"/>
                <w:color w:val="000000"/>
                <w:lang w:val="ro-RO" w:eastAsia="ro-RO"/>
              </w:rPr>
              <w:t>467,00</w:t>
            </w:r>
          </w:p>
        </w:tc>
        <w:tc>
          <w:tcPr>
            <w:tcW w:w="341" w:type="dxa"/>
            <w:vAlign w:val="bottom"/>
          </w:tcPr>
          <w:p w:rsidR="004D1086" w:rsidRDefault="006E0098">
            <w:pPr>
              <w:widowControl w:val="0"/>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w:t>
            </w:r>
          </w:p>
        </w:tc>
        <w:tc>
          <w:tcPr>
            <w:tcW w:w="1139" w:type="dxa"/>
            <w:vAlign w:val="bottom"/>
          </w:tcPr>
          <w:p w:rsidR="004D1086" w:rsidRDefault="006E0098">
            <w:pPr>
              <w:widowControl w:val="0"/>
              <w:spacing w:after="0" w:line="240" w:lineRule="auto"/>
              <w:jc w:val="both"/>
              <w:rPr>
                <w:rFonts w:ascii="Times New Roman" w:eastAsia="Times New Roman" w:hAnsi="Times New Roman" w:cs="Times New Roman"/>
                <w:color w:val="000000"/>
                <w:lang w:val="ro-RO" w:eastAsia="ro-RO"/>
              </w:rPr>
            </w:pPr>
            <w:r>
              <w:rPr>
                <w:rFonts w:ascii="Times New Roman" w:eastAsia="Times New Roman" w:hAnsi="Times New Roman" w:cs="Times New Roman"/>
                <w:color w:val="000000"/>
                <w:lang w:val="ro-RO" w:eastAsia="ro-RO"/>
              </w:rPr>
              <w:t>502,25</w:t>
            </w:r>
          </w:p>
        </w:tc>
        <w:tc>
          <w:tcPr>
            <w:tcW w:w="679" w:type="dxa"/>
            <w:shd w:val="clear" w:color="auto" w:fill="CC00CC"/>
            <w:vAlign w:val="center"/>
          </w:tcPr>
          <w:p w:rsidR="004D1086" w:rsidRDefault="004D1086">
            <w:pPr>
              <w:widowControl w:val="0"/>
              <w:spacing w:after="0" w:line="240" w:lineRule="auto"/>
              <w:jc w:val="both"/>
              <w:rPr>
                <w:rFonts w:ascii="Times New Roman" w:eastAsia="Times New Roman" w:hAnsi="Times New Roman" w:cs="Times New Roman"/>
                <w:color w:val="000000"/>
                <w:lang w:val="ro-RO" w:eastAsia="ro-RO"/>
              </w:rPr>
            </w:pPr>
          </w:p>
        </w:tc>
      </w:tr>
      <w:tr w:rsidR="004D1086">
        <w:trPr>
          <w:trHeight w:val="261"/>
        </w:trPr>
        <w:tc>
          <w:tcPr>
            <w:tcW w:w="1040" w:type="dxa"/>
            <w:vAlign w:val="bottom"/>
          </w:tcPr>
          <w:p w:rsidR="004D1086" w:rsidRDefault="006E0098">
            <w:pPr>
              <w:widowControl w:val="0"/>
              <w:spacing w:after="0" w:line="240" w:lineRule="auto"/>
              <w:jc w:val="both"/>
              <w:rPr>
                <w:rFonts w:ascii="Times New Roman" w:eastAsia="Times New Roman" w:hAnsi="Times New Roman" w:cs="Times New Roman"/>
                <w:color w:val="000000"/>
                <w:lang w:val="ro-RO" w:eastAsia="ro-RO"/>
              </w:rPr>
            </w:pPr>
            <w:r>
              <w:rPr>
                <w:rFonts w:ascii="Times New Roman" w:eastAsia="Times New Roman" w:hAnsi="Times New Roman" w:cs="Times New Roman"/>
                <w:color w:val="000000"/>
                <w:lang w:val="ro-RO" w:eastAsia="ro-RO"/>
              </w:rPr>
              <w:t>502,25</w:t>
            </w:r>
          </w:p>
        </w:tc>
        <w:tc>
          <w:tcPr>
            <w:tcW w:w="341" w:type="dxa"/>
            <w:vAlign w:val="bottom"/>
          </w:tcPr>
          <w:p w:rsidR="004D1086" w:rsidRDefault="006E0098">
            <w:pPr>
              <w:widowControl w:val="0"/>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w:t>
            </w:r>
          </w:p>
        </w:tc>
        <w:tc>
          <w:tcPr>
            <w:tcW w:w="1139" w:type="dxa"/>
            <w:vAlign w:val="bottom"/>
          </w:tcPr>
          <w:p w:rsidR="004D1086" w:rsidRDefault="006E0098">
            <w:pPr>
              <w:widowControl w:val="0"/>
              <w:spacing w:after="0" w:line="240" w:lineRule="auto"/>
              <w:jc w:val="both"/>
              <w:rPr>
                <w:rFonts w:ascii="Times New Roman" w:eastAsia="Times New Roman" w:hAnsi="Times New Roman" w:cs="Times New Roman"/>
                <w:color w:val="000000"/>
                <w:lang w:val="ro-RO" w:eastAsia="ro-RO"/>
              </w:rPr>
            </w:pPr>
            <w:r>
              <w:rPr>
                <w:rFonts w:ascii="Times New Roman" w:eastAsia="Times New Roman" w:hAnsi="Times New Roman" w:cs="Times New Roman"/>
                <w:color w:val="000000"/>
                <w:lang w:val="ro-RO" w:eastAsia="ro-RO"/>
              </w:rPr>
              <w:t>610,09</w:t>
            </w:r>
          </w:p>
        </w:tc>
        <w:tc>
          <w:tcPr>
            <w:tcW w:w="679" w:type="dxa"/>
            <w:shd w:val="clear" w:color="auto" w:fill="660066"/>
            <w:vAlign w:val="center"/>
          </w:tcPr>
          <w:p w:rsidR="004D1086" w:rsidRDefault="004D1086">
            <w:pPr>
              <w:widowControl w:val="0"/>
              <w:spacing w:after="0" w:line="240" w:lineRule="auto"/>
              <w:jc w:val="both"/>
              <w:rPr>
                <w:rFonts w:ascii="Times New Roman" w:eastAsia="Times New Roman" w:hAnsi="Times New Roman" w:cs="Times New Roman"/>
                <w:color w:val="000000"/>
                <w:lang w:val="ro-RO" w:eastAsia="ro-RO"/>
              </w:rPr>
            </w:pPr>
          </w:p>
        </w:tc>
      </w:tr>
    </w:tbl>
    <w:p w:rsidR="004D1086" w:rsidRDefault="004D1086">
      <w:pPr>
        <w:spacing w:after="0" w:line="240" w:lineRule="auto"/>
        <w:jc w:val="both"/>
        <w:rPr>
          <w:rFonts w:ascii="Times New Roman" w:hAnsi="Times New Roman" w:cs="Times New Roman"/>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4D1086">
      <w:pPr>
        <w:spacing w:after="0" w:line="240" w:lineRule="auto"/>
        <w:jc w:val="both"/>
        <w:rPr>
          <w:rFonts w:ascii="Times New Roman" w:hAnsi="Times New Roman" w:cs="Times New Roman"/>
          <w:b/>
          <w:bCs/>
          <w:i/>
          <w:iCs/>
          <w:lang w:val="ro-RO"/>
        </w:rPr>
      </w:pPr>
    </w:p>
    <w:p w:rsidR="004D1086" w:rsidRDefault="006E0098">
      <w:pPr>
        <w:spacing w:after="0" w:line="240" w:lineRule="auto"/>
        <w:jc w:val="center"/>
        <w:rPr>
          <w:rFonts w:ascii="Times New Roman" w:hAnsi="Times New Roman" w:cs="Times New Roman"/>
          <w:b/>
          <w:bCs/>
          <w:i/>
          <w:iCs/>
          <w:lang w:val="ro-RO"/>
        </w:rPr>
      </w:pPr>
      <w:r>
        <w:rPr>
          <w:rFonts w:ascii="Times New Roman" w:hAnsi="Times New Roman" w:cs="Times New Roman"/>
          <w:b/>
          <w:bCs/>
          <w:i/>
          <w:iCs/>
          <w:lang w:val="ro-RO"/>
        </w:rPr>
        <w:t>(</w:t>
      </w:r>
      <w:r>
        <w:rPr>
          <w:rFonts w:ascii="Times New Roman" w:hAnsi="Times New Roman" w:cs="Times New Roman"/>
          <w:b/>
          <w:i/>
          <w:color w:val="000000"/>
          <w:lang w:val="ro-RO" w:eastAsia="ro-RO"/>
        </w:rPr>
        <w:t>Sursa: CNSISP – INSP</w:t>
      </w:r>
      <w:r>
        <w:rPr>
          <w:rFonts w:ascii="Times New Roman" w:hAnsi="Times New Roman" w:cs="Times New Roman"/>
          <w:b/>
          <w:bCs/>
          <w:i/>
          <w:iCs/>
          <w:lang w:val="ro-RO"/>
        </w:rPr>
        <w:t>)</w:t>
      </w:r>
    </w:p>
    <w:p w:rsidR="004D1086" w:rsidRDefault="004D1086">
      <w:pPr>
        <w:spacing w:after="0" w:line="240" w:lineRule="auto"/>
        <w:jc w:val="both"/>
        <w:rPr>
          <w:rFonts w:ascii="Times New Roman" w:hAnsi="Times New Roman" w:cs="Times New Roman"/>
          <w:b/>
          <w:bCs/>
          <w:color w:val="000000"/>
          <w:lang w:val="ro-RO"/>
        </w:rPr>
      </w:pPr>
    </w:p>
    <w:p w:rsidR="004D1086" w:rsidRDefault="004D1086">
      <w:pPr>
        <w:spacing w:after="0" w:line="240" w:lineRule="auto"/>
        <w:jc w:val="both"/>
        <w:rPr>
          <w:rFonts w:ascii="Times New Roman" w:hAnsi="Times New Roman" w:cs="Times New Roman"/>
          <w:highlight w:val="yellow"/>
          <w:lang w:val="ro-RO" w:eastAsia="x-none"/>
        </w:rPr>
      </w:pPr>
    </w:p>
    <w:p w:rsidR="004D1086" w:rsidRDefault="006E0098">
      <w:pPr>
        <w:spacing w:after="0" w:line="240" w:lineRule="auto"/>
        <w:jc w:val="both"/>
        <w:rPr>
          <w:rFonts w:ascii="Times New Roman" w:hAnsi="Times New Roman" w:cs="Times New Roman"/>
          <w:color w:val="000000"/>
          <w:highlight w:val="yellow"/>
          <w:lang w:val="ro-RO" w:eastAsia="x-none"/>
        </w:rPr>
      </w:pPr>
      <w:r>
        <w:rPr>
          <w:rFonts w:ascii="Times New Roman" w:hAnsi="Times New Roman" w:cs="Times New Roman"/>
          <w:color w:val="000000"/>
          <w:lang w:val="ro-RO" w:eastAsia="x-none"/>
        </w:rPr>
        <w:t>Cele mai înalte valori ale mortalității cardiovasculare standardizate au raportat județele din sudul României: Giurgiu (583,6 la 100.000 de locuitori), dar și județele Olt (610,1 la</w:t>
      </w:r>
      <w:r>
        <w:rPr>
          <w:rFonts w:ascii="Times New Roman" w:hAnsi="Times New Roman" w:cs="Times New Roman"/>
          <w:color w:val="000000"/>
          <w:lang w:val="ro-RO" w:eastAsia="x-none"/>
        </w:rPr>
        <w:t xml:space="preserve"> 100.000 de locuitori), Mehedinți (577,7 la 100.000 de locuitori), Dolj, Teleorman</w:t>
      </w:r>
      <w:r>
        <w:rPr>
          <w:rFonts w:ascii="Times New Roman" w:hAnsi="Times New Roman" w:cs="Times New Roman"/>
          <w:i/>
          <w:color w:val="000000"/>
          <w:lang w:val="ro-RO" w:eastAsia="x-none"/>
        </w:rPr>
        <w:t>.</w:t>
      </w:r>
    </w:p>
    <w:p w:rsidR="004D1086" w:rsidRDefault="004D1086">
      <w:pPr>
        <w:spacing w:after="0" w:line="240" w:lineRule="auto"/>
        <w:jc w:val="both"/>
        <w:rPr>
          <w:rFonts w:ascii="Times New Roman" w:hAnsi="Times New Roman" w:cs="Times New Roman"/>
          <w:lang w:val="ro-RO"/>
        </w:rPr>
      </w:pPr>
    </w:p>
    <w:p w:rsidR="004D1086" w:rsidRDefault="006E0098">
      <w:pPr>
        <w:pStyle w:val="15Times12"/>
        <w:rPr>
          <w:bCs/>
          <w:iCs/>
          <w:sz w:val="22"/>
          <w:szCs w:val="22"/>
        </w:rPr>
      </w:pPr>
      <w:r>
        <w:rPr>
          <w:b/>
          <w:bCs/>
          <w:sz w:val="22"/>
          <w:szCs w:val="22"/>
          <w:shd w:val="clear" w:color="auto" w:fill="FFFFFF"/>
        </w:rPr>
        <w:t>Obezitatea</w:t>
      </w:r>
      <w:r>
        <w:rPr>
          <w:sz w:val="22"/>
          <w:szCs w:val="22"/>
          <w:shd w:val="clear" w:color="auto" w:fill="FFFFFF"/>
        </w:rPr>
        <w:t xml:space="preserve"> este o condiție medicală caracterizată prin creșterea greutății corporale pe seama țesutului adipos, definită printr-o valoare a indicelui de masă corporală ≥ 3</w:t>
      </w:r>
      <w:r>
        <w:rPr>
          <w:sz w:val="22"/>
          <w:szCs w:val="22"/>
          <w:shd w:val="clear" w:color="auto" w:fill="FFFFFF"/>
        </w:rPr>
        <w:t>0kg/m</w:t>
      </w:r>
      <w:r>
        <w:rPr>
          <w:sz w:val="22"/>
          <w:szCs w:val="22"/>
          <w:shd w:val="clear" w:color="auto" w:fill="FFFFFF"/>
          <w:vertAlign w:val="superscript"/>
        </w:rPr>
        <w:t>2 </w:t>
      </w:r>
      <w:r>
        <w:rPr>
          <w:sz w:val="22"/>
          <w:szCs w:val="22"/>
          <w:shd w:val="clear" w:color="auto" w:fill="FFFFFF"/>
        </w:rPr>
        <w:t xml:space="preserve">. </w:t>
      </w:r>
      <w:r>
        <w:rPr>
          <w:sz w:val="22"/>
          <w:szCs w:val="22"/>
        </w:rPr>
        <w:t>Obezitatea are consecințe importante asupra calității vieții în general și asupra incidenței, prevalenței și mortalității prin boli asociate cardiovasculare, endocrine și a unor forme de cancer.</w:t>
      </w:r>
      <w:r>
        <w:rPr>
          <w:bCs/>
          <w:iCs/>
          <w:sz w:val="22"/>
          <w:szCs w:val="22"/>
        </w:rPr>
        <w:t xml:space="preserve"> </w:t>
      </w:r>
    </w:p>
    <w:p w:rsidR="004D1086" w:rsidRDefault="006E0098">
      <w:pPr>
        <w:pStyle w:val="15Times12"/>
        <w:rPr>
          <w:bCs/>
          <w:iCs/>
          <w:sz w:val="22"/>
          <w:szCs w:val="22"/>
        </w:rPr>
      </w:pPr>
      <w:r>
        <w:rPr>
          <w:bCs/>
          <w:iCs/>
          <w:sz w:val="22"/>
          <w:szCs w:val="22"/>
        </w:rPr>
        <w:t xml:space="preserve">În anul 2020, județul Mehedinți a înregistrat cea </w:t>
      </w:r>
      <w:r>
        <w:rPr>
          <w:bCs/>
          <w:iCs/>
          <w:sz w:val="22"/>
          <w:szCs w:val="22"/>
        </w:rPr>
        <w:t>mai mare prevalență a obezității, cu</w:t>
      </w:r>
      <w:r>
        <w:rPr>
          <w:sz w:val="22"/>
          <w:szCs w:val="22"/>
        </w:rPr>
        <w:t xml:space="preserve"> </w:t>
      </w:r>
      <w:r>
        <w:rPr>
          <w:bCs/>
          <w:iCs/>
          <w:sz w:val="22"/>
          <w:szCs w:val="22"/>
        </w:rPr>
        <w:t xml:space="preserve">6297 cazuri la 100.000 de locuitori, urmat de județele Bihor, Argeș, Arad, Brăila, Iași, Neamț cu valori cuprinse între 4906 și 2828 la 100.000 de locuitori. </w:t>
      </w:r>
    </w:p>
    <w:p w:rsidR="004D1086" w:rsidRDefault="006E0098">
      <w:pPr>
        <w:pStyle w:val="15Times12"/>
        <w:jc w:val="center"/>
        <w:rPr>
          <w:b/>
          <w:bCs/>
          <w:i/>
          <w:iCs/>
          <w:sz w:val="22"/>
          <w:szCs w:val="22"/>
        </w:rPr>
      </w:pPr>
      <w:r>
        <w:rPr>
          <w:b/>
          <w:bCs/>
          <w:i/>
          <w:iCs/>
          <w:sz w:val="22"/>
          <w:szCs w:val="22"/>
        </w:rPr>
        <w:t>Distribuția prevalenței obezității pe județe, în anul 2020 (</w:t>
      </w:r>
      <w:r>
        <w:rPr>
          <w:b/>
          <w:bCs/>
          <w:i/>
          <w:iCs/>
          <w:sz w:val="22"/>
          <w:szCs w:val="22"/>
        </w:rPr>
        <w:t>la 100.000 de locuitori)</w:t>
      </w:r>
    </w:p>
    <w:p w:rsidR="004D1086" w:rsidRDefault="006E0098">
      <w:pPr>
        <w:jc w:val="both"/>
        <w:rPr>
          <w:rFonts w:ascii="Times New Roman" w:hAnsi="Times New Roman" w:cs="Times New Roman"/>
          <w:highlight w:val="yellow"/>
          <w:lang w:val="ro-RO"/>
        </w:rPr>
      </w:pPr>
      <w:r>
        <w:rPr>
          <w:rFonts w:ascii="Times New Roman" w:hAnsi="Times New Roman" w:cs="Times New Roman"/>
          <w:noProof/>
          <w:highlight w:val="yellow"/>
        </w:rPr>
        <w:drawing>
          <wp:anchor distT="0" distB="0" distL="0" distR="0" simplePos="0" relativeHeight="16" behindDoc="1" locked="0" layoutInCell="0" allowOverlap="1">
            <wp:simplePos x="0" y="0"/>
            <wp:positionH relativeFrom="column">
              <wp:posOffset>2104390</wp:posOffset>
            </wp:positionH>
            <wp:positionV relativeFrom="paragraph">
              <wp:posOffset>188595</wp:posOffset>
            </wp:positionV>
            <wp:extent cx="4003040" cy="2844800"/>
            <wp:effectExtent l="0" t="0" r="0" b="0"/>
            <wp:wrapNone/>
            <wp:docPr id="16" name="Imagine 11"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ine 11" descr="O imagine care conține hartă&#10;&#10;Descriere generată automat"/>
                    <pic:cNvPicPr>
                      <a:picLocks noChangeAspect="1" noChangeArrowheads="1"/>
                    </pic:cNvPicPr>
                  </pic:nvPicPr>
                  <pic:blipFill>
                    <a:blip r:embed="rId37"/>
                    <a:stretch>
                      <a:fillRect/>
                    </a:stretch>
                  </pic:blipFill>
                  <pic:spPr bwMode="auto">
                    <a:xfrm>
                      <a:off x="0" y="0"/>
                      <a:ext cx="4003040" cy="2844800"/>
                    </a:xfrm>
                    <a:prstGeom prst="rect">
                      <a:avLst/>
                    </a:prstGeom>
                  </pic:spPr>
                </pic:pic>
              </a:graphicData>
            </a:graphic>
          </wp:anchor>
        </w:drawing>
      </w:r>
    </w:p>
    <w:tbl>
      <w:tblPr>
        <w:tblW w:w="3449" w:type="dxa"/>
        <w:tblInd w:w="93" w:type="dxa"/>
        <w:tblLayout w:type="fixed"/>
        <w:tblLook w:val="00A0" w:firstRow="1" w:lastRow="0" w:firstColumn="1" w:lastColumn="0" w:noHBand="0" w:noVBand="0"/>
      </w:tblPr>
      <w:tblGrid>
        <w:gridCol w:w="1220"/>
        <w:gridCol w:w="340"/>
        <w:gridCol w:w="940"/>
        <w:gridCol w:w="949"/>
      </w:tblGrid>
      <w:tr w:rsidR="004D1086">
        <w:trPr>
          <w:trHeight w:val="261"/>
        </w:trPr>
        <w:tc>
          <w:tcPr>
            <w:tcW w:w="1219" w:type="dxa"/>
            <w:vAlign w:val="bottom"/>
          </w:tcPr>
          <w:p w:rsidR="004D1086" w:rsidRDefault="004D1086">
            <w:pPr>
              <w:widowControl w:val="0"/>
              <w:jc w:val="both"/>
              <w:rPr>
                <w:rFonts w:ascii="Times New Roman" w:hAnsi="Times New Roman" w:cs="Times New Roman"/>
                <w:lang w:val="ro-RO" w:eastAsia="ro-RO"/>
              </w:rPr>
            </w:pPr>
          </w:p>
        </w:tc>
        <w:tc>
          <w:tcPr>
            <w:tcW w:w="340" w:type="dxa"/>
            <w:vAlign w:val="bottom"/>
          </w:tcPr>
          <w:p w:rsidR="004D1086" w:rsidRDefault="004D1086">
            <w:pPr>
              <w:widowControl w:val="0"/>
              <w:jc w:val="both"/>
              <w:rPr>
                <w:rFonts w:ascii="Times New Roman" w:hAnsi="Times New Roman" w:cs="Times New Roman"/>
                <w:lang w:val="ro-RO" w:eastAsia="ro-RO"/>
              </w:rPr>
            </w:pPr>
          </w:p>
        </w:tc>
        <w:tc>
          <w:tcPr>
            <w:tcW w:w="1889" w:type="dxa"/>
            <w:gridSpan w:val="2"/>
            <w:vAlign w:val="bottom"/>
          </w:tcPr>
          <w:p w:rsidR="004D1086" w:rsidRDefault="006E0098">
            <w:pPr>
              <w:widowControl w:val="0"/>
              <w:jc w:val="both"/>
              <w:rPr>
                <w:rFonts w:ascii="Times New Roman" w:hAnsi="Times New Roman" w:cs="Times New Roman"/>
                <w:lang w:val="ro-RO" w:eastAsia="ro-RO"/>
              </w:rPr>
            </w:pPr>
            <w:r>
              <w:rPr>
                <w:rFonts w:ascii="Times New Roman" w:hAnsi="Times New Roman" w:cs="Times New Roman"/>
                <w:lang w:val="ro-RO" w:eastAsia="ro-RO"/>
              </w:rPr>
              <w:t>Legenda</w:t>
            </w:r>
          </w:p>
        </w:tc>
      </w:tr>
      <w:tr w:rsidR="004D1086">
        <w:trPr>
          <w:trHeight w:val="261"/>
        </w:trPr>
        <w:tc>
          <w:tcPr>
            <w:tcW w:w="1219" w:type="dxa"/>
            <w:vAlign w:val="bottom"/>
          </w:tcPr>
          <w:p w:rsidR="004D1086" w:rsidRDefault="006E0098">
            <w:pPr>
              <w:widowControl w:val="0"/>
              <w:jc w:val="both"/>
              <w:rPr>
                <w:rFonts w:ascii="Times New Roman" w:hAnsi="Times New Roman" w:cs="Times New Roman"/>
                <w:color w:val="000000"/>
                <w:lang w:val="ro-RO" w:eastAsia="ro-RO"/>
              </w:rPr>
            </w:pPr>
            <w:r>
              <w:rPr>
                <w:rFonts w:ascii="Times New Roman" w:hAnsi="Times New Roman" w:cs="Times New Roman"/>
                <w:color w:val="000000"/>
                <w:lang w:val="ro-RO"/>
              </w:rPr>
              <w:t>124,83</w:t>
            </w:r>
          </w:p>
        </w:tc>
        <w:tc>
          <w:tcPr>
            <w:tcW w:w="340" w:type="dxa"/>
            <w:vAlign w:val="bottom"/>
          </w:tcPr>
          <w:p w:rsidR="004D1086" w:rsidRDefault="006E0098">
            <w:pPr>
              <w:widowControl w:val="0"/>
              <w:jc w:val="both"/>
              <w:rPr>
                <w:rFonts w:ascii="Times New Roman" w:hAnsi="Times New Roman" w:cs="Times New Roman"/>
                <w:lang w:val="ro-RO"/>
              </w:rPr>
            </w:pPr>
            <w:r>
              <w:rPr>
                <w:rFonts w:ascii="Times New Roman" w:hAnsi="Times New Roman" w:cs="Times New Roman"/>
                <w:lang w:val="ro-RO"/>
              </w:rPr>
              <w:t>-</w:t>
            </w:r>
          </w:p>
        </w:tc>
        <w:tc>
          <w:tcPr>
            <w:tcW w:w="940" w:type="dxa"/>
            <w:vAlign w:val="bottom"/>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1171,39</w:t>
            </w:r>
          </w:p>
        </w:tc>
        <w:tc>
          <w:tcPr>
            <w:tcW w:w="949" w:type="dxa"/>
            <w:shd w:val="clear" w:color="auto" w:fill="FFCCFF"/>
            <w:vAlign w:val="center"/>
          </w:tcPr>
          <w:p w:rsidR="004D1086" w:rsidRDefault="004D1086">
            <w:pPr>
              <w:widowControl w:val="0"/>
              <w:jc w:val="both"/>
              <w:rPr>
                <w:rFonts w:ascii="Times New Roman" w:hAnsi="Times New Roman" w:cs="Times New Roman"/>
                <w:color w:val="000000"/>
                <w:lang w:val="ro-RO"/>
              </w:rPr>
            </w:pPr>
          </w:p>
        </w:tc>
      </w:tr>
      <w:tr w:rsidR="004D1086">
        <w:trPr>
          <w:trHeight w:val="261"/>
        </w:trPr>
        <w:tc>
          <w:tcPr>
            <w:tcW w:w="1219" w:type="dxa"/>
            <w:vAlign w:val="bottom"/>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1171,39</w:t>
            </w:r>
          </w:p>
        </w:tc>
        <w:tc>
          <w:tcPr>
            <w:tcW w:w="340" w:type="dxa"/>
            <w:vAlign w:val="bottom"/>
          </w:tcPr>
          <w:p w:rsidR="004D1086" w:rsidRDefault="006E0098">
            <w:pPr>
              <w:widowControl w:val="0"/>
              <w:jc w:val="both"/>
              <w:rPr>
                <w:rFonts w:ascii="Times New Roman" w:hAnsi="Times New Roman" w:cs="Times New Roman"/>
                <w:lang w:val="ro-RO"/>
              </w:rPr>
            </w:pPr>
            <w:r>
              <w:rPr>
                <w:rFonts w:ascii="Times New Roman" w:hAnsi="Times New Roman" w:cs="Times New Roman"/>
                <w:lang w:val="ro-RO"/>
              </w:rPr>
              <w:t>-</w:t>
            </w:r>
          </w:p>
        </w:tc>
        <w:tc>
          <w:tcPr>
            <w:tcW w:w="940" w:type="dxa"/>
            <w:vAlign w:val="bottom"/>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1620,42</w:t>
            </w:r>
          </w:p>
        </w:tc>
        <w:tc>
          <w:tcPr>
            <w:tcW w:w="949" w:type="dxa"/>
            <w:shd w:val="clear" w:color="auto" w:fill="FF00FF"/>
            <w:vAlign w:val="center"/>
          </w:tcPr>
          <w:p w:rsidR="004D1086" w:rsidRDefault="004D1086">
            <w:pPr>
              <w:widowControl w:val="0"/>
              <w:jc w:val="both"/>
              <w:rPr>
                <w:rFonts w:ascii="Times New Roman" w:hAnsi="Times New Roman" w:cs="Times New Roman"/>
                <w:color w:val="000000"/>
                <w:lang w:val="ro-RO"/>
              </w:rPr>
            </w:pPr>
          </w:p>
        </w:tc>
      </w:tr>
      <w:tr w:rsidR="004D1086">
        <w:trPr>
          <w:trHeight w:val="261"/>
        </w:trPr>
        <w:tc>
          <w:tcPr>
            <w:tcW w:w="1219" w:type="dxa"/>
            <w:vAlign w:val="bottom"/>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1620,42</w:t>
            </w:r>
          </w:p>
        </w:tc>
        <w:tc>
          <w:tcPr>
            <w:tcW w:w="340" w:type="dxa"/>
            <w:vAlign w:val="bottom"/>
          </w:tcPr>
          <w:p w:rsidR="004D1086" w:rsidRDefault="006E0098">
            <w:pPr>
              <w:widowControl w:val="0"/>
              <w:jc w:val="both"/>
              <w:rPr>
                <w:rFonts w:ascii="Times New Roman" w:hAnsi="Times New Roman" w:cs="Times New Roman"/>
                <w:lang w:val="ro-RO"/>
              </w:rPr>
            </w:pPr>
            <w:r>
              <w:rPr>
                <w:rFonts w:ascii="Times New Roman" w:hAnsi="Times New Roman" w:cs="Times New Roman"/>
                <w:lang w:val="ro-RO"/>
              </w:rPr>
              <w:t>-</w:t>
            </w:r>
          </w:p>
        </w:tc>
        <w:tc>
          <w:tcPr>
            <w:tcW w:w="940" w:type="dxa"/>
            <w:vAlign w:val="bottom"/>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2304,65</w:t>
            </w:r>
          </w:p>
        </w:tc>
        <w:tc>
          <w:tcPr>
            <w:tcW w:w="949" w:type="dxa"/>
            <w:shd w:val="clear" w:color="auto" w:fill="CC00CC"/>
            <w:vAlign w:val="center"/>
          </w:tcPr>
          <w:p w:rsidR="004D1086" w:rsidRDefault="004D1086">
            <w:pPr>
              <w:widowControl w:val="0"/>
              <w:jc w:val="both"/>
              <w:rPr>
                <w:rFonts w:ascii="Times New Roman" w:hAnsi="Times New Roman" w:cs="Times New Roman"/>
                <w:color w:val="000000"/>
                <w:lang w:val="ro-RO"/>
              </w:rPr>
            </w:pPr>
          </w:p>
        </w:tc>
      </w:tr>
      <w:tr w:rsidR="004D1086">
        <w:trPr>
          <w:trHeight w:val="261"/>
        </w:trPr>
        <w:tc>
          <w:tcPr>
            <w:tcW w:w="1219" w:type="dxa"/>
            <w:vAlign w:val="bottom"/>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2304,65</w:t>
            </w:r>
          </w:p>
        </w:tc>
        <w:tc>
          <w:tcPr>
            <w:tcW w:w="340" w:type="dxa"/>
            <w:vAlign w:val="bottom"/>
          </w:tcPr>
          <w:p w:rsidR="004D1086" w:rsidRDefault="006E0098">
            <w:pPr>
              <w:widowControl w:val="0"/>
              <w:jc w:val="both"/>
              <w:rPr>
                <w:rFonts w:ascii="Times New Roman" w:hAnsi="Times New Roman" w:cs="Times New Roman"/>
                <w:lang w:val="ro-RO"/>
              </w:rPr>
            </w:pPr>
            <w:r>
              <w:rPr>
                <w:rFonts w:ascii="Times New Roman" w:hAnsi="Times New Roman" w:cs="Times New Roman"/>
                <w:lang w:val="ro-RO"/>
              </w:rPr>
              <w:t>-</w:t>
            </w:r>
          </w:p>
        </w:tc>
        <w:tc>
          <w:tcPr>
            <w:tcW w:w="940" w:type="dxa"/>
            <w:vAlign w:val="bottom"/>
          </w:tcPr>
          <w:p w:rsidR="004D1086" w:rsidRDefault="006E0098">
            <w:pPr>
              <w:widowControl w:val="0"/>
              <w:jc w:val="both"/>
              <w:rPr>
                <w:rFonts w:ascii="Times New Roman" w:hAnsi="Times New Roman" w:cs="Times New Roman"/>
                <w:color w:val="000000"/>
                <w:lang w:val="ro-RO"/>
              </w:rPr>
            </w:pPr>
            <w:r>
              <w:rPr>
                <w:rFonts w:ascii="Times New Roman" w:hAnsi="Times New Roman" w:cs="Times New Roman"/>
                <w:color w:val="000000"/>
                <w:lang w:val="ro-RO"/>
              </w:rPr>
              <w:t>6927,15</w:t>
            </w:r>
          </w:p>
        </w:tc>
        <w:tc>
          <w:tcPr>
            <w:tcW w:w="949" w:type="dxa"/>
            <w:shd w:val="clear" w:color="auto" w:fill="660066"/>
            <w:vAlign w:val="center"/>
          </w:tcPr>
          <w:p w:rsidR="004D1086" w:rsidRDefault="004D1086">
            <w:pPr>
              <w:widowControl w:val="0"/>
              <w:jc w:val="both"/>
              <w:rPr>
                <w:rFonts w:ascii="Times New Roman" w:hAnsi="Times New Roman" w:cs="Times New Roman"/>
                <w:color w:val="000000"/>
                <w:lang w:val="ro-RO"/>
              </w:rPr>
            </w:pPr>
          </w:p>
        </w:tc>
      </w:tr>
    </w:tbl>
    <w:p w:rsidR="004D1086" w:rsidRDefault="004D1086">
      <w:pPr>
        <w:spacing w:line="360" w:lineRule="auto"/>
        <w:jc w:val="both"/>
        <w:rPr>
          <w:rFonts w:ascii="Times New Roman" w:hAnsi="Times New Roman" w:cs="Times New Roman"/>
          <w:bCs/>
          <w:iCs/>
          <w:highlight w:val="yellow"/>
          <w:lang w:val="ro-RO"/>
        </w:rPr>
      </w:pPr>
    </w:p>
    <w:p w:rsidR="004D1086" w:rsidRDefault="004D1086">
      <w:pPr>
        <w:spacing w:line="360" w:lineRule="auto"/>
        <w:jc w:val="both"/>
        <w:rPr>
          <w:rFonts w:ascii="Times New Roman" w:hAnsi="Times New Roman" w:cs="Times New Roman"/>
          <w:bCs/>
          <w:iCs/>
          <w:highlight w:val="yellow"/>
          <w:lang w:val="ro-RO"/>
        </w:rPr>
      </w:pPr>
    </w:p>
    <w:p w:rsidR="004D1086" w:rsidRDefault="004D1086">
      <w:pPr>
        <w:spacing w:line="360" w:lineRule="auto"/>
        <w:jc w:val="both"/>
        <w:rPr>
          <w:rFonts w:ascii="Times New Roman" w:hAnsi="Times New Roman" w:cs="Times New Roman"/>
          <w:bCs/>
          <w:iCs/>
          <w:highlight w:val="yellow"/>
          <w:lang w:val="ro-RO"/>
        </w:rPr>
      </w:pPr>
    </w:p>
    <w:p w:rsidR="004D1086" w:rsidRDefault="004D1086">
      <w:pPr>
        <w:spacing w:line="360" w:lineRule="auto"/>
        <w:jc w:val="both"/>
        <w:rPr>
          <w:rFonts w:ascii="Times New Roman" w:hAnsi="Times New Roman" w:cs="Times New Roman"/>
          <w:b/>
          <w:bCs/>
          <w:i/>
          <w:iCs/>
          <w:highlight w:val="yellow"/>
          <w:lang w:val="ro-RO"/>
        </w:rPr>
      </w:pPr>
    </w:p>
    <w:p w:rsidR="004D1086" w:rsidRDefault="006E0098">
      <w:pPr>
        <w:spacing w:after="0" w:line="240" w:lineRule="auto"/>
        <w:jc w:val="center"/>
        <w:rPr>
          <w:rFonts w:ascii="Times New Roman" w:hAnsi="Times New Roman" w:cs="Times New Roman"/>
          <w:b/>
          <w:bCs/>
          <w:i/>
          <w:iCs/>
          <w:lang w:val="ro-RO"/>
        </w:rPr>
      </w:pPr>
      <w:r>
        <w:rPr>
          <w:rFonts w:ascii="Times New Roman" w:hAnsi="Times New Roman" w:cs="Times New Roman"/>
          <w:b/>
          <w:bCs/>
          <w:i/>
          <w:iCs/>
          <w:lang w:val="ro-RO"/>
        </w:rPr>
        <w:t>(</w:t>
      </w:r>
      <w:r>
        <w:rPr>
          <w:rFonts w:ascii="Times New Roman" w:hAnsi="Times New Roman" w:cs="Times New Roman"/>
          <w:b/>
          <w:i/>
          <w:color w:val="000000"/>
          <w:lang w:val="ro-RO" w:eastAsia="ro-RO"/>
        </w:rPr>
        <w:t>Sursa: CNSISP – INSP</w:t>
      </w:r>
      <w:r>
        <w:rPr>
          <w:rFonts w:ascii="Times New Roman" w:hAnsi="Times New Roman" w:cs="Times New Roman"/>
          <w:b/>
          <w:bCs/>
          <w:i/>
          <w:iCs/>
          <w:lang w:val="ro-RO"/>
        </w:rPr>
        <w:t>)</w:t>
      </w:r>
    </w:p>
    <w:p w:rsidR="004D1086" w:rsidRDefault="004D1086">
      <w:pPr>
        <w:spacing w:after="0" w:line="240" w:lineRule="auto"/>
        <w:jc w:val="both"/>
        <w:rPr>
          <w:rFonts w:ascii="Times New Roman" w:hAnsi="Times New Roman" w:cs="Times New Roman"/>
          <w:bCs/>
          <w:iCs/>
          <w:lang w:val="ro-RO"/>
        </w:rPr>
      </w:pPr>
    </w:p>
    <w:p w:rsidR="004D1086" w:rsidRDefault="006E0098">
      <w:pPr>
        <w:spacing w:after="0" w:line="240" w:lineRule="auto"/>
        <w:jc w:val="both"/>
        <w:rPr>
          <w:rFonts w:ascii="Times New Roman" w:hAnsi="Times New Roman" w:cs="Times New Roman"/>
          <w:b/>
          <w:iCs/>
          <w:lang w:val="ro-RO"/>
        </w:rPr>
      </w:pPr>
      <w:r>
        <w:rPr>
          <w:rFonts w:ascii="Times New Roman" w:hAnsi="Times New Roman" w:cs="Times New Roman"/>
          <w:b/>
          <w:iCs/>
          <w:lang w:val="ro-RO"/>
        </w:rPr>
        <w:t xml:space="preserve">Diabetul zaharat </w:t>
      </w:r>
    </w:p>
    <w:p w:rsidR="004D1086" w:rsidRDefault="006E0098">
      <w:pPr>
        <w:spacing w:after="0" w:line="240" w:lineRule="auto"/>
        <w:jc w:val="both"/>
        <w:rPr>
          <w:rFonts w:ascii="Times New Roman" w:hAnsi="Times New Roman" w:cs="Times New Roman"/>
          <w:lang w:val="ro-RO"/>
        </w:rPr>
      </w:pPr>
      <w:r>
        <w:rPr>
          <w:rFonts w:ascii="Times New Roman" w:hAnsi="Times New Roman" w:cs="Times New Roman"/>
          <w:bCs/>
          <w:iCs/>
          <w:lang w:val="ro-RO"/>
        </w:rPr>
        <w:t>Urmând dinamica bolii la nivel mondial, România înregistrează valori crescătoare ale incidenței și prevalenței prin diabet zaharat. Dacă în anul 1974, ponderea bolilor endocrine, de nutriție și de metabolism reprezenta 0,6% în cadrul profilului etiopatogen</w:t>
      </w:r>
      <w:r>
        <w:rPr>
          <w:rFonts w:ascii="Times New Roman" w:hAnsi="Times New Roman" w:cs="Times New Roman"/>
          <w:bCs/>
          <w:iCs/>
          <w:lang w:val="ro-RO"/>
        </w:rPr>
        <w:t xml:space="preserve">etic global, în anul 2020, ponderea acestora a crescut la 4%. </w:t>
      </w:r>
    </w:p>
    <w:p w:rsidR="004D1086" w:rsidRDefault="006E0098">
      <w:pPr>
        <w:spacing w:after="0" w:line="240" w:lineRule="auto"/>
        <w:jc w:val="both"/>
        <w:rPr>
          <w:rFonts w:ascii="Times New Roman" w:hAnsi="Times New Roman" w:cs="Times New Roman"/>
          <w:color w:val="000000"/>
          <w:lang w:val="ro-RO"/>
        </w:rPr>
      </w:pPr>
      <w:r>
        <w:rPr>
          <w:rFonts w:ascii="Times New Roman" w:hAnsi="Times New Roman" w:cs="Times New Roman"/>
          <w:bCs/>
          <w:iCs/>
          <w:color w:val="000000"/>
          <w:lang w:val="ro-RO"/>
        </w:rPr>
        <w:t xml:space="preserve">Județele cu prevalențe înalte ale diabetului zaharat sunt: Satu-Mare (7750 </w:t>
      </w:r>
      <w:r>
        <w:rPr>
          <w:rFonts w:ascii="Times New Roman" w:hAnsi="Times New Roman" w:cs="Times New Roman"/>
          <w:color w:val="000000"/>
          <w:lang w:val="ro-RO"/>
        </w:rPr>
        <w:t xml:space="preserve">‰00 </w:t>
      </w:r>
      <w:r>
        <w:rPr>
          <w:rFonts w:ascii="Times New Roman" w:hAnsi="Times New Roman" w:cs="Times New Roman"/>
          <w:bCs/>
          <w:iCs/>
          <w:color w:val="000000"/>
          <w:lang w:val="ro-RO"/>
        </w:rPr>
        <w:t xml:space="preserve">locuitori), Arad (7266 </w:t>
      </w:r>
      <w:r>
        <w:rPr>
          <w:rFonts w:ascii="Times New Roman" w:hAnsi="Times New Roman" w:cs="Times New Roman"/>
          <w:color w:val="000000"/>
          <w:lang w:val="ro-RO"/>
        </w:rPr>
        <w:t xml:space="preserve">‰00 </w:t>
      </w:r>
      <w:r>
        <w:rPr>
          <w:rFonts w:ascii="Times New Roman" w:hAnsi="Times New Roman" w:cs="Times New Roman"/>
          <w:bCs/>
          <w:iCs/>
          <w:color w:val="000000"/>
          <w:lang w:val="ro-RO"/>
        </w:rPr>
        <w:t xml:space="preserve">locuitori), Sibiu (7513 </w:t>
      </w:r>
      <w:r>
        <w:rPr>
          <w:rFonts w:ascii="Times New Roman" w:hAnsi="Times New Roman" w:cs="Times New Roman"/>
          <w:color w:val="000000"/>
          <w:lang w:val="ro-RO"/>
        </w:rPr>
        <w:t xml:space="preserve">‰00 </w:t>
      </w:r>
      <w:r>
        <w:rPr>
          <w:rFonts w:ascii="Times New Roman" w:hAnsi="Times New Roman" w:cs="Times New Roman"/>
          <w:bCs/>
          <w:iCs/>
          <w:color w:val="000000"/>
          <w:lang w:val="ro-RO"/>
        </w:rPr>
        <w:t xml:space="preserve">locuitori) </w:t>
      </w:r>
      <w:r>
        <w:rPr>
          <w:rFonts w:ascii="Times New Roman" w:hAnsi="Times New Roman" w:cs="Times New Roman"/>
          <w:i/>
          <w:color w:val="000000"/>
          <w:lang w:val="ro-RO"/>
        </w:rPr>
        <w:t>(vezi tabelul și figura de mai jos)</w:t>
      </w:r>
      <w:r>
        <w:rPr>
          <w:rFonts w:ascii="Times New Roman" w:hAnsi="Times New Roman" w:cs="Times New Roman"/>
          <w:color w:val="000000"/>
          <w:lang w:val="ro-RO"/>
        </w:rPr>
        <w:t>.</w:t>
      </w:r>
    </w:p>
    <w:p w:rsidR="004D1086" w:rsidRDefault="006E0098">
      <w:pPr>
        <w:spacing w:after="0" w:line="240" w:lineRule="auto"/>
        <w:jc w:val="both"/>
        <w:rPr>
          <w:rFonts w:ascii="Times New Roman" w:hAnsi="Times New Roman" w:cs="Times New Roman"/>
          <w:b/>
          <w:bCs/>
          <w:i/>
          <w:iCs/>
          <w:color w:val="000000"/>
          <w:lang w:val="ro-RO"/>
        </w:rPr>
      </w:pPr>
      <w:r>
        <w:rPr>
          <w:rFonts w:ascii="Times New Roman" w:hAnsi="Times New Roman" w:cs="Times New Roman"/>
          <w:b/>
          <w:bCs/>
          <w:i/>
          <w:iCs/>
          <w:color w:val="000000"/>
          <w:lang w:val="ro-RO"/>
        </w:rPr>
        <w:t xml:space="preserve"> </w:t>
      </w:r>
    </w:p>
    <w:p w:rsidR="004D1086" w:rsidRDefault="006E0098">
      <w:pPr>
        <w:spacing w:after="0" w:line="240" w:lineRule="auto"/>
        <w:jc w:val="center"/>
        <w:rPr>
          <w:rFonts w:ascii="Times New Roman" w:hAnsi="Times New Roman" w:cs="Times New Roman"/>
          <w:b/>
          <w:bCs/>
          <w:i/>
          <w:iCs/>
          <w:color w:val="000000"/>
          <w:lang w:val="ro-RO"/>
        </w:rPr>
      </w:pPr>
      <w:r>
        <w:rPr>
          <w:rFonts w:ascii="Times New Roman" w:hAnsi="Times New Roman" w:cs="Times New Roman"/>
          <w:b/>
          <w:bCs/>
          <w:i/>
          <w:iCs/>
          <w:color w:val="000000"/>
          <w:lang w:val="ro-RO"/>
        </w:rPr>
        <w:t>Distribuț</w:t>
      </w:r>
      <w:r>
        <w:rPr>
          <w:rFonts w:ascii="Times New Roman" w:hAnsi="Times New Roman" w:cs="Times New Roman"/>
          <w:b/>
          <w:bCs/>
          <w:i/>
          <w:iCs/>
          <w:color w:val="000000"/>
          <w:lang w:val="ro-RO"/>
        </w:rPr>
        <w:t>ia bolnavilor rămași în evidență cu diabet, pe județe, în anul 2020 (la 100.000 locuitori)</w:t>
      </w:r>
    </w:p>
    <w:p w:rsidR="004D1086" w:rsidRDefault="004D1086">
      <w:pPr>
        <w:spacing w:after="0" w:line="240" w:lineRule="auto"/>
        <w:jc w:val="center"/>
        <w:rPr>
          <w:rFonts w:ascii="Times New Roman" w:hAnsi="Times New Roman" w:cs="Times New Roman"/>
          <w:b/>
          <w:bCs/>
          <w:i/>
          <w:iCs/>
          <w:color w:val="000000"/>
          <w:lang w:val="ro-RO"/>
        </w:rPr>
      </w:pPr>
    </w:p>
    <w:p w:rsidR="004D1086" w:rsidRDefault="004D1086">
      <w:pPr>
        <w:sectPr w:rsidR="004D1086">
          <w:footerReference w:type="default" r:id="rId38"/>
          <w:pgSz w:w="11906" w:h="16838"/>
          <w:pgMar w:top="1191" w:right="1134" w:bottom="851" w:left="1134" w:header="0" w:footer="340" w:gutter="0"/>
          <w:cols w:space="720"/>
          <w:formProt w:val="0"/>
          <w:docGrid w:linePitch="272" w:charSpace="8192"/>
        </w:sectPr>
      </w:pPr>
    </w:p>
    <w:tbl>
      <w:tblPr>
        <w:tblW w:w="3887" w:type="dxa"/>
        <w:jc w:val="center"/>
        <w:tblLayout w:type="fixed"/>
        <w:tblLook w:val="00A0" w:firstRow="1" w:lastRow="0" w:firstColumn="1" w:lastColumn="0" w:noHBand="0" w:noVBand="0"/>
      </w:tblPr>
      <w:tblGrid>
        <w:gridCol w:w="2265"/>
        <w:gridCol w:w="1622"/>
      </w:tblGrid>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4D1086">
            <w:pPr>
              <w:widowControl w:val="0"/>
              <w:spacing w:line="240" w:lineRule="auto"/>
              <w:jc w:val="center"/>
              <w:rPr>
                <w:rFonts w:ascii="Times New Roman" w:hAnsi="Times New Roman" w:cs="Times New Roman"/>
                <w:b/>
                <w:bCs/>
                <w:lang w:val="ro-RO"/>
              </w:rPr>
            </w:pPr>
          </w:p>
          <w:p w:rsidR="004D1086" w:rsidRDefault="006E0098">
            <w:pPr>
              <w:widowControl w:val="0"/>
              <w:spacing w:line="240" w:lineRule="auto"/>
              <w:jc w:val="center"/>
              <w:rPr>
                <w:rFonts w:ascii="Times New Roman" w:hAnsi="Times New Roman" w:cs="Times New Roman"/>
                <w:b/>
                <w:bCs/>
                <w:lang w:val="ro-RO"/>
              </w:rPr>
            </w:pPr>
            <w:r>
              <w:rPr>
                <w:rFonts w:ascii="Times New Roman" w:hAnsi="Times New Roman" w:cs="Times New Roman"/>
                <w:b/>
                <w:bCs/>
                <w:lang w:val="ro-RO"/>
              </w:rPr>
              <w:t>Județ</w:t>
            </w:r>
          </w:p>
        </w:tc>
        <w:tc>
          <w:tcPr>
            <w:tcW w:w="1622"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center"/>
              <w:rPr>
                <w:rFonts w:ascii="Times New Roman" w:hAnsi="Times New Roman" w:cs="Times New Roman"/>
                <w:b/>
                <w:bCs/>
                <w:lang w:val="ro-RO"/>
              </w:rPr>
            </w:pPr>
            <w:r>
              <w:rPr>
                <w:rFonts w:ascii="Times New Roman" w:hAnsi="Times New Roman" w:cs="Times New Roman"/>
                <w:b/>
                <w:bCs/>
                <w:lang w:val="ro-RO"/>
              </w:rPr>
              <w:t>Diabet zaharat</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eastAsia="ro-RO"/>
              </w:rPr>
            </w:pPr>
            <w:r>
              <w:rPr>
                <w:rFonts w:ascii="Times New Roman" w:hAnsi="Times New Roman" w:cs="Times New Roman"/>
                <w:lang w:val="ro-RO"/>
              </w:rPr>
              <w:t>România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4529,135</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Alba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5014,917</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Arad</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7266,09</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Argeș</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4273,872</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Bacău</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3579,861</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Bihor</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4052,485</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Bistrița-Năsăud</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4565,831</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Botoșani</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2902,487</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Brașov</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4365,584</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Brăila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3893,184</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Buzău</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4031,016</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Caraș-Severin</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4198,124</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Călărași</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3826,218</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Cluj</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4255,184</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Constanța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6724,877</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Covasna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3872,217</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Dâmbovița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5574,748</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Dolj</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4504,314</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Galați</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3743,074</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Giurgiu</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3498,93</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Gorj</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5944,511</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Harghita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4943,692</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lastRenderedPageBreak/>
              <w:t>Hunedoara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6796,186</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Ialomița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3850,197</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Iași</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4973,613</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Ilfov</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1784,762</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Maramureș</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4138,349</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Mehedinți</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3162,082</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Mureș</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3609,784</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Neamț</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4710,995</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Olt</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3848,861</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Prahova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4258,165</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Satu Mare</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7750,083</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Sălaj</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4650,353</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Sibiu</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7513,398</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Suceava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5165,161</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Teleorman</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4134,679</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Timiș</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3726,183</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Tulcea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3785,923</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Vaslui</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3390,156</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Vâlcea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4059,611</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Vrancea</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4963,499</w:t>
            </w:r>
          </w:p>
        </w:tc>
      </w:tr>
      <w:tr w:rsidR="004D1086">
        <w:trPr>
          <w:trHeight w:val="300"/>
          <w:jc w:val="center"/>
        </w:trPr>
        <w:tc>
          <w:tcPr>
            <w:tcW w:w="2264" w:type="dxa"/>
            <w:tcBorders>
              <w:top w:val="single" w:sz="4" w:space="0" w:color="000000"/>
              <w:left w:val="single" w:sz="4" w:space="0" w:color="000000"/>
              <w:bottom w:val="single" w:sz="4" w:space="0" w:color="000000"/>
              <w:right w:val="single" w:sz="4" w:space="0" w:color="000000"/>
            </w:tcBorders>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Municipiul București</w:t>
            </w:r>
          </w:p>
        </w:tc>
        <w:tc>
          <w:tcPr>
            <w:tcW w:w="1622" w:type="dxa"/>
            <w:tcBorders>
              <w:top w:val="single" w:sz="4" w:space="0" w:color="000000"/>
              <w:left w:val="single" w:sz="4" w:space="0" w:color="000000"/>
              <w:bottom w:val="single" w:sz="4" w:space="0" w:color="000000"/>
              <w:right w:val="single" w:sz="4" w:space="0" w:color="000000"/>
            </w:tcBorders>
            <w:vAlign w:val="center"/>
          </w:tcPr>
          <w:p w:rsidR="004D1086" w:rsidRDefault="006E0098">
            <w:pPr>
              <w:widowControl w:val="0"/>
              <w:spacing w:line="240" w:lineRule="auto"/>
              <w:jc w:val="right"/>
              <w:rPr>
                <w:rFonts w:ascii="Times New Roman" w:hAnsi="Times New Roman" w:cs="Times New Roman"/>
                <w:bCs/>
                <w:color w:val="000000"/>
                <w:lang w:val="ro-RO"/>
              </w:rPr>
            </w:pPr>
            <w:r>
              <w:rPr>
                <w:rFonts w:ascii="Times New Roman" w:hAnsi="Times New Roman" w:cs="Times New Roman"/>
                <w:bCs/>
                <w:color w:val="000000"/>
                <w:lang w:val="ro-RO"/>
              </w:rPr>
              <w:t>4410,772</w:t>
            </w:r>
          </w:p>
        </w:tc>
      </w:tr>
    </w:tbl>
    <w:p w:rsidR="004D1086" w:rsidRDefault="004D1086">
      <w:pPr>
        <w:spacing w:line="240" w:lineRule="auto"/>
        <w:jc w:val="both"/>
        <w:rPr>
          <w:rFonts w:ascii="Times New Roman" w:hAnsi="Times New Roman" w:cs="Times New Roman"/>
          <w:b/>
          <w:highlight w:val="yellow"/>
          <w:lang w:val="ro-RO"/>
        </w:rPr>
      </w:pPr>
    </w:p>
    <w:p w:rsidR="004D1086" w:rsidRDefault="004D1086">
      <w:pPr>
        <w:rPr>
          <w:lang w:val="ro-RO"/>
        </w:rPr>
      </w:pPr>
    </w:p>
    <w:p w:rsidR="004D1086" w:rsidRDefault="004D1086">
      <w:pPr>
        <w:sectPr w:rsidR="004D1086">
          <w:type w:val="continuous"/>
          <w:pgSz w:w="11906" w:h="16838"/>
          <w:pgMar w:top="1191" w:right="1134" w:bottom="851" w:left="1134" w:header="0" w:footer="340" w:gutter="0"/>
          <w:cols w:num="2" w:space="708"/>
          <w:formProt w:val="0"/>
          <w:docGrid w:linePitch="272" w:charSpace="8192"/>
        </w:sectPr>
      </w:pPr>
    </w:p>
    <w:p w:rsidR="004D1086" w:rsidRDefault="004D1086">
      <w:pPr>
        <w:spacing w:line="240" w:lineRule="auto"/>
        <w:jc w:val="both"/>
        <w:rPr>
          <w:rFonts w:ascii="Times New Roman" w:hAnsi="Times New Roman" w:cs="Times New Roman"/>
          <w:b/>
          <w:bCs/>
          <w:i/>
          <w:iCs/>
          <w:lang w:val="ro-RO"/>
        </w:rPr>
      </w:pPr>
    </w:p>
    <w:p w:rsidR="004D1086" w:rsidRDefault="006E0098">
      <w:pPr>
        <w:spacing w:line="240" w:lineRule="auto"/>
        <w:ind w:firstLine="720"/>
        <w:jc w:val="center"/>
        <w:rPr>
          <w:rFonts w:ascii="Times New Roman" w:hAnsi="Times New Roman" w:cs="Times New Roman"/>
          <w:b/>
          <w:highlight w:val="yellow"/>
          <w:lang w:val="ro-RO"/>
        </w:rPr>
      </w:pPr>
      <w:r>
        <w:rPr>
          <w:rFonts w:ascii="Times New Roman" w:hAnsi="Times New Roman" w:cs="Times New Roman"/>
          <w:b/>
          <w:bCs/>
          <w:i/>
          <w:iCs/>
          <w:lang w:val="ro-RO"/>
        </w:rPr>
        <w:t xml:space="preserve">                          (</w:t>
      </w:r>
      <w:r>
        <w:rPr>
          <w:rFonts w:ascii="Times New Roman" w:hAnsi="Times New Roman" w:cs="Times New Roman"/>
          <w:b/>
          <w:i/>
          <w:color w:val="000000"/>
          <w:lang w:val="ro-RO" w:eastAsia="ro-RO"/>
        </w:rPr>
        <w:t>Sursa: CNSISP – INSP</w:t>
      </w:r>
      <w:r>
        <w:rPr>
          <w:rFonts w:ascii="Times New Roman" w:hAnsi="Times New Roman" w:cs="Times New Roman"/>
          <w:b/>
          <w:bCs/>
          <w:i/>
          <w:iCs/>
          <w:lang w:val="ro-RO"/>
        </w:rPr>
        <w:t>)</w:t>
      </w:r>
    </w:p>
    <w:p w:rsidR="004D1086" w:rsidRDefault="004D1086">
      <w:pPr>
        <w:sectPr w:rsidR="004D1086">
          <w:type w:val="continuous"/>
          <w:pgSz w:w="11906" w:h="16838"/>
          <w:pgMar w:top="1191" w:right="1134" w:bottom="851" w:left="1134" w:header="0" w:footer="340" w:gutter="0"/>
          <w:cols w:num="2" w:space="708"/>
          <w:formProt w:val="0"/>
          <w:docGrid w:linePitch="272" w:charSpace="8192"/>
        </w:sectPr>
      </w:pPr>
    </w:p>
    <w:p w:rsidR="004D1086" w:rsidRDefault="006E0098">
      <w:pPr>
        <w:spacing w:line="240" w:lineRule="auto"/>
        <w:jc w:val="center"/>
        <w:rPr>
          <w:rFonts w:ascii="Times New Roman" w:hAnsi="Times New Roman" w:cs="Times New Roman"/>
          <w:b/>
          <w:bCs/>
          <w:i/>
          <w:iCs/>
          <w:color w:val="000000"/>
          <w:lang w:val="ro-RO"/>
        </w:rPr>
      </w:pPr>
      <w:r>
        <w:rPr>
          <w:rFonts w:ascii="Times New Roman" w:hAnsi="Times New Roman" w:cs="Times New Roman"/>
          <w:b/>
          <w:bCs/>
          <w:i/>
          <w:iCs/>
          <w:color w:val="000000"/>
          <w:lang w:val="ro-RO"/>
        </w:rPr>
        <w:lastRenderedPageBreak/>
        <w:t>Distribuția prevalenței diabetului, pe județe și pe quartile, în anul 2020 (la 100.000 locuitori)</w:t>
      </w:r>
    </w:p>
    <w:p w:rsidR="004D1086" w:rsidRDefault="006E0098">
      <w:pPr>
        <w:spacing w:line="240" w:lineRule="auto"/>
        <w:jc w:val="both"/>
        <w:rPr>
          <w:rFonts w:ascii="Times New Roman" w:hAnsi="Times New Roman" w:cs="Times New Roman"/>
          <w:highlight w:val="yellow"/>
          <w:lang w:val="ro-RO"/>
        </w:rPr>
      </w:pPr>
      <w:r>
        <w:rPr>
          <w:rFonts w:ascii="Times New Roman" w:hAnsi="Times New Roman" w:cs="Times New Roman"/>
          <w:noProof/>
          <w:highlight w:val="yellow"/>
        </w:rPr>
        <w:drawing>
          <wp:anchor distT="0" distB="0" distL="0" distR="0" simplePos="0" relativeHeight="17" behindDoc="1" locked="0" layoutInCell="0" allowOverlap="1">
            <wp:simplePos x="0" y="0"/>
            <wp:positionH relativeFrom="column">
              <wp:posOffset>1682115</wp:posOffset>
            </wp:positionH>
            <wp:positionV relativeFrom="paragraph">
              <wp:posOffset>126365</wp:posOffset>
            </wp:positionV>
            <wp:extent cx="4559300" cy="3239770"/>
            <wp:effectExtent l="0" t="0" r="0" b="0"/>
            <wp:wrapNone/>
            <wp:docPr id="17" name="Imagine 12"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2" descr="O imagine care conține hartă&#10;&#10;Descriere generată automat"/>
                    <pic:cNvPicPr>
                      <a:picLocks noChangeAspect="1" noChangeArrowheads="1"/>
                    </pic:cNvPicPr>
                  </pic:nvPicPr>
                  <pic:blipFill>
                    <a:blip r:embed="rId39"/>
                    <a:stretch>
                      <a:fillRect/>
                    </a:stretch>
                  </pic:blipFill>
                  <pic:spPr bwMode="auto">
                    <a:xfrm>
                      <a:off x="0" y="0"/>
                      <a:ext cx="4559300" cy="3239770"/>
                    </a:xfrm>
                    <a:prstGeom prst="rect">
                      <a:avLst/>
                    </a:prstGeom>
                  </pic:spPr>
                </pic:pic>
              </a:graphicData>
            </a:graphic>
          </wp:anchor>
        </w:drawing>
      </w:r>
    </w:p>
    <w:tbl>
      <w:tblPr>
        <w:tblW w:w="2993" w:type="dxa"/>
        <w:tblInd w:w="93" w:type="dxa"/>
        <w:tblLayout w:type="fixed"/>
        <w:tblLook w:val="00A0" w:firstRow="1" w:lastRow="0" w:firstColumn="1" w:lastColumn="0" w:noHBand="0" w:noVBand="0"/>
      </w:tblPr>
      <w:tblGrid>
        <w:gridCol w:w="1038"/>
        <w:gridCol w:w="290"/>
        <w:gridCol w:w="938"/>
        <w:gridCol w:w="727"/>
      </w:tblGrid>
      <w:tr w:rsidR="004D1086">
        <w:trPr>
          <w:trHeight w:val="261"/>
        </w:trPr>
        <w:tc>
          <w:tcPr>
            <w:tcW w:w="1037" w:type="dxa"/>
            <w:vAlign w:val="bottom"/>
          </w:tcPr>
          <w:p w:rsidR="004D1086" w:rsidRDefault="004D1086">
            <w:pPr>
              <w:widowControl w:val="0"/>
              <w:spacing w:line="240" w:lineRule="auto"/>
              <w:jc w:val="both"/>
              <w:rPr>
                <w:rFonts w:ascii="Times New Roman" w:hAnsi="Times New Roman" w:cs="Times New Roman"/>
                <w:lang w:val="ro-RO" w:eastAsia="ro-RO"/>
              </w:rPr>
            </w:pPr>
          </w:p>
        </w:tc>
        <w:tc>
          <w:tcPr>
            <w:tcW w:w="290" w:type="dxa"/>
            <w:vAlign w:val="bottom"/>
          </w:tcPr>
          <w:p w:rsidR="004D1086" w:rsidRDefault="004D1086">
            <w:pPr>
              <w:widowControl w:val="0"/>
              <w:spacing w:line="240" w:lineRule="auto"/>
              <w:jc w:val="both"/>
              <w:rPr>
                <w:rFonts w:ascii="Times New Roman" w:hAnsi="Times New Roman" w:cs="Times New Roman"/>
                <w:lang w:val="ro-RO" w:eastAsia="ro-RO"/>
              </w:rPr>
            </w:pPr>
          </w:p>
        </w:tc>
        <w:tc>
          <w:tcPr>
            <w:tcW w:w="1665" w:type="dxa"/>
            <w:gridSpan w:val="2"/>
            <w:vAlign w:val="bottom"/>
          </w:tcPr>
          <w:p w:rsidR="004D1086" w:rsidRDefault="006E0098">
            <w:pPr>
              <w:widowControl w:val="0"/>
              <w:spacing w:line="240" w:lineRule="auto"/>
              <w:jc w:val="both"/>
              <w:rPr>
                <w:rFonts w:ascii="Times New Roman" w:hAnsi="Times New Roman" w:cs="Times New Roman"/>
                <w:lang w:val="ro-RO" w:eastAsia="ro-RO"/>
              </w:rPr>
            </w:pPr>
            <w:r>
              <w:rPr>
                <w:rFonts w:ascii="Times New Roman" w:hAnsi="Times New Roman" w:cs="Times New Roman"/>
                <w:lang w:val="ro-RO" w:eastAsia="ro-RO"/>
              </w:rPr>
              <w:t>Legenda</w:t>
            </w:r>
          </w:p>
        </w:tc>
      </w:tr>
      <w:tr w:rsidR="004D1086">
        <w:trPr>
          <w:trHeight w:val="261"/>
        </w:trPr>
        <w:tc>
          <w:tcPr>
            <w:tcW w:w="1037" w:type="dxa"/>
            <w:vAlign w:val="bottom"/>
          </w:tcPr>
          <w:p w:rsidR="004D1086" w:rsidRDefault="006E0098">
            <w:pPr>
              <w:widowControl w:val="0"/>
              <w:spacing w:line="240" w:lineRule="auto"/>
              <w:jc w:val="both"/>
              <w:rPr>
                <w:rFonts w:ascii="Times New Roman" w:hAnsi="Times New Roman" w:cs="Times New Roman"/>
                <w:color w:val="000000"/>
                <w:lang w:val="ro-RO" w:eastAsia="ro-RO"/>
              </w:rPr>
            </w:pPr>
            <w:r>
              <w:rPr>
                <w:rFonts w:ascii="Times New Roman" w:hAnsi="Times New Roman" w:cs="Times New Roman"/>
                <w:color w:val="000000"/>
                <w:lang w:val="ro-RO"/>
              </w:rPr>
              <w:t>1784,76</w:t>
            </w:r>
          </w:p>
        </w:tc>
        <w:tc>
          <w:tcPr>
            <w:tcW w:w="290" w:type="dxa"/>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w:t>
            </w:r>
          </w:p>
        </w:tc>
        <w:tc>
          <w:tcPr>
            <w:tcW w:w="938" w:type="dxa"/>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3831,88</w:t>
            </w:r>
          </w:p>
        </w:tc>
        <w:tc>
          <w:tcPr>
            <w:tcW w:w="727" w:type="dxa"/>
            <w:shd w:val="clear" w:color="000000" w:fill="FFFFCC"/>
            <w:vAlign w:val="center"/>
          </w:tcPr>
          <w:p w:rsidR="004D1086" w:rsidRDefault="004D1086">
            <w:pPr>
              <w:widowControl w:val="0"/>
              <w:spacing w:line="240" w:lineRule="auto"/>
              <w:jc w:val="both"/>
              <w:rPr>
                <w:rFonts w:ascii="Times New Roman" w:hAnsi="Times New Roman" w:cs="Times New Roman"/>
                <w:color w:val="000000"/>
                <w:lang w:val="ro-RO"/>
              </w:rPr>
            </w:pPr>
          </w:p>
        </w:tc>
      </w:tr>
      <w:tr w:rsidR="004D1086">
        <w:trPr>
          <w:trHeight w:val="261"/>
        </w:trPr>
        <w:tc>
          <w:tcPr>
            <w:tcW w:w="1037" w:type="dxa"/>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3831,88</w:t>
            </w:r>
          </w:p>
        </w:tc>
        <w:tc>
          <w:tcPr>
            <w:tcW w:w="290" w:type="dxa"/>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w:t>
            </w:r>
          </w:p>
        </w:tc>
        <w:tc>
          <w:tcPr>
            <w:tcW w:w="938" w:type="dxa"/>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4226,65</w:t>
            </w:r>
          </w:p>
        </w:tc>
        <w:tc>
          <w:tcPr>
            <w:tcW w:w="727" w:type="dxa"/>
            <w:shd w:val="clear" w:color="000000" w:fill="FFFF00"/>
            <w:vAlign w:val="center"/>
          </w:tcPr>
          <w:p w:rsidR="004D1086" w:rsidRDefault="004D1086">
            <w:pPr>
              <w:widowControl w:val="0"/>
              <w:spacing w:line="240" w:lineRule="auto"/>
              <w:jc w:val="both"/>
              <w:rPr>
                <w:rFonts w:ascii="Times New Roman" w:hAnsi="Times New Roman" w:cs="Times New Roman"/>
                <w:color w:val="000000"/>
                <w:lang w:val="ro-RO"/>
              </w:rPr>
            </w:pPr>
          </w:p>
        </w:tc>
      </w:tr>
      <w:tr w:rsidR="004D1086">
        <w:trPr>
          <w:trHeight w:val="261"/>
        </w:trPr>
        <w:tc>
          <w:tcPr>
            <w:tcW w:w="1037" w:type="dxa"/>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4226,65</w:t>
            </w:r>
          </w:p>
        </w:tc>
        <w:tc>
          <w:tcPr>
            <w:tcW w:w="290" w:type="dxa"/>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w:t>
            </w:r>
          </w:p>
        </w:tc>
        <w:tc>
          <w:tcPr>
            <w:tcW w:w="938" w:type="dxa"/>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4958,55</w:t>
            </w:r>
          </w:p>
        </w:tc>
        <w:tc>
          <w:tcPr>
            <w:tcW w:w="727" w:type="dxa"/>
            <w:shd w:val="clear" w:color="000000" w:fill="FFC000"/>
            <w:vAlign w:val="center"/>
          </w:tcPr>
          <w:p w:rsidR="004D1086" w:rsidRDefault="004D1086">
            <w:pPr>
              <w:widowControl w:val="0"/>
              <w:spacing w:line="240" w:lineRule="auto"/>
              <w:jc w:val="both"/>
              <w:rPr>
                <w:rFonts w:ascii="Times New Roman" w:hAnsi="Times New Roman" w:cs="Times New Roman"/>
                <w:color w:val="000000"/>
                <w:lang w:val="ro-RO"/>
              </w:rPr>
            </w:pPr>
          </w:p>
        </w:tc>
      </w:tr>
      <w:tr w:rsidR="004D1086">
        <w:trPr>
          <w:trHeight w:val="261"/>
        </w:trPr>
        <w:tc>
          <w:tcPr>
            <w:tcW w:w="1037" w:type="dxa"/>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4958,55</w:t>
            </w:r>
          </w:p>
        </w:tc>
        <w:tc>
          <w:tcPr>
            <w:tcW w:w="290" w:type="dxa"/>
            <w:vAlign w:val="bottom"/>
          </w:tcPr>
          <w:p w:rsidR="004D1086" w:rsidRDefault="006E0098">
            <w:pPr>
              <w:widowControl w:val="0"/>
              <w:spacing w:line="240" w:lineRule="auto"/>
              <w:jc w:val="both"/>
              <w:rPr>
                <w:rFonts w:ascii="Times New Roman" w:hAnsi="Times New Roman" w:cs="Times New Roman"/>
                <w:lang w:val="ro-RO"/>
              </w:rPr>
            </w:pPr>
            <w:r>
              <w:rPr>
                <w:rFonts w:ascii="Times New Roman" w:hAnsi="Times New Roman" w:cs="Times New Roman"/>
                <w:lang w:val="ro-RO"/>
              </w:rPr>
              <w:t>-</w:t>
            </w:r>
          </w:p>
        </w:tc>
        <w:tc>
          <w:tcPr>
            <w:tcW w:w="938" w:type="dxa"/>
            <w:vAlign w:val="bottom"/>
          </w:tcPr>
          <w:p w:rsidR="004D1086" w:rsidRDefault="006E0098">
            <w:pPr>
              <w:widowControl w:val="0"/>
              <w:spacing w:line="240" w:lineRule="auto"/>
              <w:jc w:val="both"/>
              <w:rPr>
                <w:rFonts w:ascii="Times New Roman" w:hAnsi="Times New Roman" w:cs="Times New Roman"/>
                <w:color w:val="000000"/>
                <w:lang w:val="ro-RO"/>
              </w:rPr>
            </w:pPr>
            <w:r>
              <w:rPr>
                <w:rFonts w:ascii="Times New Roman" w:hAnsi="Times New Roman" w:cs="Times New Roman"/>
                <w:color w:val="000000"/>
                <w:lang w:val="ro-RO"/>
              </w:rPr>
              <w:t>7750,08</w:t>
            </w:r>
          </w:p>
        </w:tc>
        <w:tc>
          <w:tcPr>
            <w:tcW w:w="727" w:type="dxa"/>
            <w:shd w:val="clear" w:color="auto" w:fill="996633"/>
            <w:vAlign w:val="center"/>
          </w:tcPr>
          <w:p w:rsidR="004D1086" w:rsidRDefault="004D1086">
            <w:pPr>
              <w:widowControl w:val="0"/>
              <w:spacing w:line="240" w:lineRule="auto"/>
              <w:jc w:val="both"/>
              <w:rPr>
                <w:rFonts w:ascii="Times New Roman" w:hAnsi="Times New Roman" w:cs="Times New Roman"/>
                <w:color w:val="000000"/>
                <w:lang w:val="ro-RO"/>
              </w:rPr>
            </w:pPr>
          </w:p>
        </w:tc>
      </w:tr>
    </w:tbl>
    <w:p w:rsidR="004D1086" w:rsidRDefault="004D1086">
      <w:pPr>
        <w:spacing w:line="240" w:lineRule="auto"/>
        <w:jc w:val="both"/>
        <w:rPr>
          <w:rFonts w:ascii="Times New Roman" w:hAnsi="Times New Roman" w:cs="Times New Roman"/>
          <w:bCs/>
          <w:iCs/>
          <w:highlight w:val="yellow"/>
          <w:lang w:val="ro-RO"/>
        </w:rPr>
      </w:pPr>
    </w:p>
    <w:p w:rsidR="004D1086" w:rsidRDefault="004D1086">
      <w:pPr>
        <w:spacing w:line="240" w:lineRule="auto"/>
        <w:ind w:firstLine="720"/>
        <w:jc w:val="both"/>
        <w:rPr>
          <w:rFonts w:ascii="Times New Roman" w:hAnsi="Times New Roman" w:cs="Times New Roman"/>
          <w:b/>
          <w:bCs/>
          <w:i/>
          <w:iCs/>
          <w:lang w:val="ro-RO"/>
        </w:rPr>
      </w:pPr>
    </w:p>
    <w:p w:rsidR="004D1086" w:rsidRDefault="004D1086">
      <w:pPr>
        <w:spacing w:line="240" w:lineRule="auto"/>
        <w:ind w:firstLine="720"/>
        <w:jc w:val="both"/>
        <w:rPr>
          <w:rFonts w:ascii="Times New Roman" w:hAnsi="Times New Roman" w:cs="Times New Roman"/>
          <w:b/>
          <w:bCs/>
          <w:i/>
          <w:iCs/>
          <w:lang w:val="ro-RO"/>
        </w:rPr>
      </w:pPr>
    </w:p>
    <w:p w:rsidR="004D1086" w:rsidRDefault="004D1086">
      <w:pPr>
        <w:spacing w:line="240" w:lineRule="auto"/>
        <w:ind w:firstLine="720"/>
        <w:jc w:val="both"/>
        <w:rPr>
          <w:rFonts w:ascii="Times New Roman" w:hAnsi="Times New Roman" w:cs="Times New Roman"/>
          <w:b/>
          <w:bCs/>
          <w:i/>
          <w:iCs/>
          <w:lang w:val="ro-RO"/>
        </w:rPr>
      </w:pPr>
    </w:p>
    <w:p w:rsidR="004D1086" w:rsidRDefault="004D1086">
      <w:pPr>
        <w:spacing w:line="240" w:lineRule="auto"/>
        <w:ind w:firstLine="720"/>
        <w:jc w:val="both"/>
        <w:rPr>
          <w:rFonts w:ascii="Times New Roman" w:hAnsi="Times New Roman" w:cs="Times New Roman"/>
          <w:b/>
          <w:bCs/>
          <w:i/>
          <w:iCs/>
          <w:lang w:val="ro-RO"/>
        </w:rPr>
      </w:pPr>
    </w:p>
    <w:p w:rsidR="004D1086" w:rsidRDefault="004D1086">
      <w:pPr>
        <w:spacing w:line="240" w:lineRule="auto"/>
        <w:ind w:firstLine="720"/>
        <w:jc w:val="both"/>
        <w:rPr>
          <w:rFonts w:ascii="Times New Roman" w:hAnsi="Times New Roman" w:cs="Times New Roman"/>
          <w:b/>
          <w:bCs/>
          <w:i/>
          <w:iCs/>
          <w:lang w:val="ro-RO"/>
        </w:rPr>
      </w:pPr>
    </w:p>
    <w:p w:rsidR="004D1086" w:rsidRDefault="004D1086">
      <w:pPr>
        <w:spacing w:line="240" w:lineRule="auto"/>
        <w:ind w:firstLine="720"/>
        <w:jc w:val="both"/>
        <w:rPr>
          <w:rFonts w:ascii="Times New Roman" w:hAnsi="Times New Roman" w:cs="Times New Roman"/>
          <w:b/>
          <w:bCs/>
          <w:i/>
          <w:iCs/>
          <w:lang w:val="ro-RO"/>
        </w:rPr>
      </w:pPr>
    </w:p>
    <w:p w:rsidR="004D1086" w:rsidRDefault="006E0098">
      <w:pPr>
        <w:spacing w:line="240" w:lineRule="auto"/>
        <w:ind w:firstLine="720"/>
        <w:jc w:val="center"/>
        <w:rPr>
          <w:rFonts w:ascii="Times New Roman" w:hAnsi="Times New Roman" w:cs="Times New Roman"/>
          <w:b/>
          <w:bCs/>
          <w:i/>
          <w:iCs/>
          <w:lang w:val="ro-RO"/>
        </w:rPr>
      </w:pPr>
      <w:r>
        <w:rPr>
          <w:rFonts w:ascii="Times New Roman" w:hAnsi="Times New Roman" w:cs="Times New Roman"/>
          <w:b/>
          <w:bCs/>
          <w:i/>
          <w:iCs/>
          <w:lang w:val="ro-RO"/>
        </w:rPr>
        <w:t>(</w:t>
      </w:r>
      <w:r>
        <w:rPr>
          <w:rFonts w:ascii="Times New Roman" w:hAnsi="Times New Roman" w:cs="Times New Roman"/>
          <w:b/>
          <w:i/>
          <w:color w:val="000000"/>
          <w:lang w:val="ro-RO" w:eastAsia="ro-RO"/>
        </w:rPr>
        <w:t>Sursa: CNSISP – INSP</w:t>
      </w:r>
      <w:r>
        <w:rPr>
          <w:rFonts w:ascii="Times New Roman" w:hAnsi="Times New Roman" w:cs="Times New Roman"/>
          <w:b/>
          <w:bCs/>
          <w:i/>
          <w:iCs/>
          <w:lang w:val="ro-RO"/>
        </w:rPr>
        <w:t>)</w:t>
      </w:r>
    </w:p>
    <w:p w:rsidR="004D1086" w:rsidRDefault="004D1086">
      <w:pPr>
        <w:spacing w:line="240" w:lineRule="auto"/>
        <w:ind w:firstLine="720"/>
        <w:jc w:val="both"/>
        <w:rPr>
          <w:rFonts w:ascii="Times New Roman" w:hAnsi="Times New Roman" w:cs="Times New Roman"/>
          <w:lang w:val="ro-RO"/>
        </w:rPr>
      </w:pPr>
    </w:p>
    <w:p w:rsidR="004D1086" w:rsidRDefault="006E0098">
      <w:pPr>
        <w:spacing w:after="0" w:line="240" w:lineRule="auto"/>
        <w:jc w:val="both"/>
        <w:rPr>
          <w:rFonts w:ascii="Times New Roman" w:hAnsi="Times New Roman" w:cs="Times New Roman"/>
          <w:color w:val="0070C0"/>
          <w:lang w:val="ro-RO"/>
        </w:rPr>
      </w:pPr>
      <w:r>
        <w:rPr>
          <w:rFonts w:ascii="Times New Roman" w:hAnsi="Times New Roman" w:cs="Times New Roman"/>
          <w:color w:val="0070C0"/>
          <w:lang w:val="ro-RO"/>
        </w:rPr>
        <w:t xml:space="preserve">3. </w:t>
      </w:r>
      <w:r>
        <w:rPr>
          <w:rFonts w:ascii="Times New Roman" w:eastAsia="Times New Roman" w:hAnsi="Times New Roman" w:cs="Times New Roman"/>
          <w:b/>
          <w:color w:val="0000FF"/>
          <w:lang w:val="ro-RO" w:eastAsia="ar-SA"/>
        </w:rPr>
        <w:t>REZULTATE RELEVANTE DIN STUDIILE NAŢIONALE, EUROPENE ŞI INTERNAŢIONALE. EVIDENȚE UTILE ÎN DOMENIUL SĂNĂTĂȚII PUBLICE</w:t>
      </w:r>
    </w:p>
    <w:p w:rsidR="004D1086" w:rsidRDefault="004D1086">
      <w:pPr>
        <w:spacing w:after="0" w:line="240" w:lineRule="auto"/>
        <w:jc w:val="both"/>
        <w:rPr>
          <w:rFonts w:ascii="Times New Roman" w:hAnsi="Times New Roman" w:cs="Times New Roman"/>
          <w:color w:val="000000"/>
          <w:lang w:val="ro-RO"/>
        </w:rPr>
      </w:pPr>
    </w:p>
    <w:p w:rsidR="004D1086" w:rsidRDefault="006E0098">
      <w:pPr>
        <w:pStyle w:val="NormalWeb"/>
        <w:shd w:val="clear" w:color="auto" w:fill="FFFFFF"/>
        <w:spacing w:before="280" w:beforeAutospacing="0" w:after="0" w:afterAutospacing="0"/>
        <w:jc w:val="both"/>
        <w:rPr>
          <w:color w:val="000000"/>
        </w:rPr>
      </w:pPr>
      <w:r>
        <w:rPr>
          <w:color w:val="000000"/>
          <w:sz w:val="22"/>
          <w:szCs w:val="22"/>
        </w:rPr>
        <w:t>Cele mai multe studii de la Harvard</w:t>
      </w:r>
      <w:r>
        <w:rPr>
          <w:rStyle w:val="FootnoteAnchor"/>
          <w:color w:val="000000"/>
          <w:sz w:val="22"/>
          <w:szCs w:val="22"/>
        </w:rPr>
        <w:footnoteReference w:id="16"/>
      </w:r>
      <w:r>
        <w:rPr>
          <w:color w:val="000000"/>
          <w:sz w:val="22"/>
          <w:szCs w:val="22"/>
        </w:rPr>
        <w:t>, arată o legătură</w:t>
      </w:r>
      <w:r>
        <w:rPr>
          <w:color w:val="000000"/>
          <w:sz w:val="22"/>
          <w:szCs w:val="22"/>
        </w:rPr>
        <w:t xml:space="preserve"> între cerealele integrale și o sănătate mai bună</w:t>
      </w:r>
      <w:r>
        <w:rPr>
          <w:rStyle w:val="FootnoteAnchor"/>
          <w:color w:val="000000"/>
          <w:sz w:val="22"/>
          <w:szCs w:val="22"/>
        </w:rPr>
        <w:footnoteReference w:id="17"/>
      </w:r>
      <w:r>
        <w:rPr>
          <w:color w:val="000000"/>
          <w:sz w:val="22"/>
          <w:szCs w:val="22"/>
        </w:rPr>
        <w:t>:</w:t>
      </w:r>
    </w:p>
    <w:p w:rsidR="004D1086" w:rsidRDefault="006E0098">
      <w:pPr>
        <w:numPr>
          <w:ilvl w:val="0"/>
          <w:numId w:val="9"/>
        </w:numPr>
        <w:shd w:val="clear" w:color="auto" w:fill="FFFFFF"/>
        <w:spacing w:after="0" w:line="240" w:lineRule="auto"/>
        <w:ind w:left="1020"/>
        <w:jc w:val="both"/>
        <w:rPr>
          <w:color w:val="000000"/>
          <w:lang w:val="ro-RO"/>
        </w:rPr>
      </w:pPr>
      <w:r>
        <w:rPr>
          <w:rFonts w:ascii="Times New Roman" w:hAnsi="Times New Roman" w:cs="Times New Roman"/>
          <w:color w:val="000000"/>
          <w:lang w:val="ro-RO"/>
        </w:rPr>
        <w:t>Un raport din Iowa Women's Health Study a corelat consumul de cereale integrale cu mai puține decese de cauze inflamatorii și infecțioase, excluzând cauzele prin boli cardiace și cancer. Exemple sunt artr</w:t>
      </w:r>
      <w:r>
        <w:rPr>
          <w:rFonts w:ascii="Times New Roman" w:hAnsi="Times New Roman" w:cs="Times New Roman"/>
          <w:color w:val="000000"/>
          <w:lang w:val="ro-RO"/>
        </w:rPr>
        <w:t>ita reumatoidă, guta, astmul, colita ulceroasă, boala Crohn și bolile neurodegenerative. În comparație cu femeile care au mâncat rar sau niciodată alimente din cereale integrale, cele care au consumat cel puțin două sau mai multe porții pe zi au avut cu 30</w:t>
      </w:r>
      <w:r>
        <w:rPr>
          <w:rFonts w:ascii="Times New Roman" w:hAnsi="Times New Roman" w:cs="Times New Roman"/>
          <w:color w:val="000000"/>
          <w:lang w:val="ro-RO"/>
        </w:rPr>
        <w:t>% mai puține șanse de a deceda din cauza unei afecțiuni inflamatorii ( pe o perioadă de 17 ani)</w:t>
      </w:r>
      <w:r>
        <w:rPr>
          <w:rStyle w:val="FootnoteAnchor"/>
          <w:rFonts w:ascii="Times New Roman" w:hAnsi="Times New Roman" w:cs="Times New Roman"/>
          <w:color w:val="000000"/>
          <w:lang w:val="ro-RO"/>
        </w:rPr>
        <w:footnoteReference w:id="18"/>
      </w:r>
      <w:r>
        <w:rPr>
          <w:rFonts w:ascii="Times New Roman" w:hAnsi="Times New Roman" w:cs="Times New Roman"/>
          <w:color w:val="000000"/>
          <w:lang w:val="ro-RO"/>
        </w:rPr>
        <w:t>.</w:t>
      </w:r>
    </w:p>
    <w:p w:rsidR="004D1086" w:rsidRDefault="006E0098">
      <w:pPr>
        <w:numPr>
          <w:ilvl w:val="0"/>
          <w:numId w:val="9"/>
        </w:numPr>
        <w:shd w:val="clear" w:color="auto" w:fill="FFFFFF"/>
        <w:spacing w:after="0" w:line="240" w:lineRule="auto"/>
        <w:ind w:left="1020"/>
        <w:jc w:val="both"/>
        <w:rPr>
          <w:color w:val="000000"/>
        </w:rPr>
      </w:pPr>
      <w:r>
        <w:rPr>
          <w:rFonts w:ascii="Times New Roman" w:hAnsi="Times New Roman" w:cs="Times New Roman"/>
          <w:color w:val="000000"/>
          <w:lang w:val="ro-RO"/>
        </w:rPr>
        <w:t xml:space="preserve">O meta-analiză care combină rezultatele studiilor efectuate în SUA, Regatul Unit și țările scandinave (care au inclus informații despre sănătate de la peste </w:t>
      </w:r>
      <w:r>
        <w:rPr>
          <w:rFonts w:ascii="Times New Roman" w:hAnsi="Times New Roman" w:cs="Times New Roman"/>
          <w:color w:val="000000"/>
          <w:lang w:val="ro-RO"/>
        </w:rPr>
        <w:t>786.000 de persoane), a constatat că persoanele care au mâncat 70 de grame/zi de cereale integrale, în comparație cu cei care au mâncat puțin sau deloc, au un risc cu 22% mai mic de mortalitate generală, un risc cu 23% mai mic de mortalitate prin boli card</w:t>
      </w:r>
      <w:r>
        <w:rPr>
          <w:rFonts w:ascii="Times New Roman" w:hAnsi="Times New Roman" w:cs="Times New Roman"/>
          <w:color w:val="000000"/>
          <w:lang w:val="ro-RO"/>
        </w:rPr>
        <w:t>iovasculare și un risc cu 20% mai mic de mortalitate prin cancer</w:t>
      </w:r>
      <w:r>
        <w:rPr>
          <w:rStyle w:val="FootnoteAnchor"/>
          <w:rFonts w:ascii="Times New Roman" w:hAnsi="Times New Roman" w:cs="Times New Roman"/>
          <w:color w:val="000000"/>
          <w:lang w:val="ro-RO"/>
        </w:rPr>
        <w:footnoteReference w:id="19"/>
      </w:r>
      <w:r>
        <w:rPr>
          <w:rFonts w:ascii="Times New Roman" w:hAnsi="Times New Roman" w:cs="Times New Roman"/>
          <w:color w:val="000000"/>
          <w:lang w:val="ro-RO"/>
        </w:rPr>
        <w:t>.</w:t>
      </w:r>
    </w:p>
    <w:p w:rsidR="004D1086" w:rsidRDefault="004D1086">
      <w:pPr>
        <w:pStyle w:val="NormalWeb"/>
        <w:shd w:val="clear" w:color="auto" w:fill="FFFFFF"/>
        <w:spacing w:before="280" w:beforeAutospacing="0" w:after="0" w:afterAutospacing="0"/>
        <w:jc w:val="both"/>
        <w:rPr>
          <w:rFonts w:eastAsiaTheme="majorEastAsia"/>
          <w:color w:val="000000"/>
          <w:sz w:val="22"/>
          <w:szCs w:val="22"/>
        </w:rPr>
      </w:pPr>
    </w:p>
    <w:p w:rsidR="004D1086" w:rsidRDefault="004D1086">
      <w:pPr>
        <w:pStyle w:val="NormalWeb"/>
        <w:shd w:val="clear" w:color="auto" w:fill="FFFFFF"/>
        <w:spacing w:before="280" w:beforeAutospacing="0" w:after="0" w:afterAutospacing="0"/>
        <w:jc w:val="both"/>
      </w:pPr>
    </w:p>
    <w:p w:rsidR="004D1086" w:rsidRDefault="004D1086">
      <w:pPr>
        <w:pStyle w:val="NormalWeb"/>
        <w:shd w:val="clear" w:color="auto" w:fill="FFFFFF"/>
        <w:spacing w:before="280" w:beforeAutospacing="0" w:after="0" w:afterAutospacing="0"/>
        <w:jc w:val="both"/>
      </w:pPr>
    </w:p>
    <w:p w:rsidR="004D1086" w:rsidRDefault="006E0098">
      <w:pPr>
        <w:pStyle w:val="NormalWeb"/>
        <w:shd w:val="clear" w:color="auto" w:fill="FFFFFF"/>
        <w:spacing w:before="280" w:beforeAutospacing="0" w:after="0" w:afterAutospacing="0"/>
        <w:jc w:val="both"/>
      </w:pPr>
      <w:r>
        <w:rPr>
          <w:rStyle w:val="Strong"/>
          <w:rFonts w:eastAsiaTheme="majorEastAsia"/>
          <w:b w:val="0"/>
          <w:bCs w:val="0"/>
          <w:i/>
          <w:color w:val="000000"/>
          <w:sz w:val="22"/>
          <w:szCs w:val="22"/>
        </w:rPr>
        <w:t xml:space="preserve">Boală cardiovasculară: </w:t>
      </w:r>
    </w:p>
    <w:p w:rsidR="004D1086" w:rsidRDefault="006E0098">
      <w:pPr>
        <w:pStyle w:val="NormalWeb"/>
        <w:shd w:val="clear" w:color="auto" w:fill="FFFFFF"/>
        <w:spacing w:before="280" w:beforeAutospacing="0" w:after="0" w:afterAutospacing="0"/>
        <w:jc w:val="both"/>
        <w:rPr>
          <w:color w:val="000000"/>
        </w:rPr>
      </w:pPr>
      <w:r>
        <w:rPr>
          <w:color w:val="000000"/>
          <w:sz w:val="22"/>
          <w:szCs w:val="22"/>
        </w:rPr>
        <w:t xml:space="preserve">Consumul de cereale integrale în loc de cereale rafinate scade substanțial colesterolul total, colesterolul cu densitate scăzută (LDL sau rău), trigliceridele și </w:t>
      </w:r>
      <w:r>
        <w:rPr>
          <w:color w:val="000000"/>
          <w:sz w:val="22"/>
          <w:szCs w:val="22"/>
        </w:rPr>
        <w:t>nivelul de insulină.</w:t>
      </w:r>
    </w:p>
    <w:p w:rsidR="004D1086" w:rsidRDefault="006E0098">
      <w:pPr>
        <w:numPr>
          <w:ilvl w:val="0"/>
          <w:numId w:val="10"/>
        </w:numPr>
        <w:shd w:val="clear" w:color="auto" w:fill="FFFFFF"/>
        <w:spacing w:after="0" w:line="240" w:lineRule="auto"/>
        <w:ind w:left="1020"/>
        <w:jc w:val="both"/>
        <w:rPr>
          <w:color w:val="000000"/>
          <w:lang w:val="ro-RO"/>
        </w:rPr>
      </w:pPr>
      <w:r>
        <w:rPr>
          <w:rFonts w:ascii="Times New Roman" w:hAnsi="Times New Roman" w:cs="Times New Roman"/>
          <w:color w:val="000000"/>
          <w:lang w:val="ro-RO"/>
        </w:rPr>
        <w:t xml:space="preserve">În cadrul Studiului de Sănătate al Asistentelor de la Harvard, femeile care au consumat 2 până la 3 porții de produse din cereale integrale în fiecare zi au avut cu 30% mai puține șanse de a avea un atac de cord sau de a deceda din </w:t>
      </w:r>
      <w:r>
        <w:rPr>
          <w:rFonts w:ascii="Times New Roman" w:hAnsi="Times New Roman" w:cs="Times New Roman"/>
          <w:color w:val="000000"/>
          <w:lang w:val="ro-RO"/>
        </w:rPr>
        <w:t>cauza unei boli de inimă pe o perioadă de 10 ani, în comparație cu femeile care au consumat mai puțin de o porție pe săptămână</w:t>
      </w:r>
      <w:r>
        <w:rPr>
          <w:rStyle w:val="FootnoteAnchor"/>
          <w:rFonts w:ascii="Times New Roman" w:hAnsi="Times New Roman" w:cs="Times New Roman"/>
          <w:color w:val="000000"/>
          <w:lang w:val="ro-RO"/>
        </w:rPr>
        <w:footnoteReference w:id="20"/>
      </w:r>
      <w:r>
        <w:rPr>
          <w:rFonts w:ascii="Times New Roman" w:hAnsi="Times New Roman" w:cs="Times New Roman"/>
          <w:color w:val="000000"/>
          <w:lang w:val="ro-RO"/>
        </w:rPr>
        <w:t>.</w:t>
      </w:r>
    </w:p>
    <w:p w:rsidR="004D1086" w:rsidRDefault="006E0098">
      <w:pPr>
        <w:numPr>
          <w:ilvl w:val="0"/>
          <w:numId w:val="10"/>
        </w:numPr>
        <w:shd w:val="clear" w:color="auto" w:fill="FFFFFF"/>
        <w:spacing w:after="0" w:line="240" w:lineRule="auto"/>
        <w:ind w:left="1020"/>
        <w:jc w:val="both"/>
        <w:rPr>
          <w:color w:val="000000"/>
        </w:rPr>
      </w:pPr>
      <w:r>
        <w:rPr>
          <w:rFonts w:ascii="Times New Roman" w:hAnsi="Times New Roman" w:cs="Times New Roman"/>
          <w:color w:val="000000"/>
          <w:lang w:val="ro-RO"/>
        </w:rPr>
        <w:t>O meta-analiză a șapte studii majore a arătat că apariția bolilor cardiovasculare (atac de cord, accident vascular cerebral sau</w:t>
      </w:r>
      <w:r>
        <w:rPr>
          <w:rFonts w:ascii="Times New Roman" w:hAnsi="Times New Roman" w:cs="Times New Roman"/>
          <w:color w:val="000000"/>
          <w:lang w:val="ro-RO"/>
        </w:rPr>
        <w:t xml:space="preserve"> necesitatea unei proceduri pentru a ocoli sau deschide o arteră înfundată) a fost cu 21% mai puțin probabilă la persoanele care au consumat 2,5 sau mai multe porții de alimente din cereale integrale  zilnic, comparativ cu cele care au consumat mai puțin d</w:t>
      </w:r>
      <w:r>
        <w:rPr>
          <w:rFonts w:ascii="Times New Roman" w:hAnsi="Times New Roman" w:cs="Times New Roman"/>
          <w:color w:val="000000"/>
          <w:lang w:val="ro-RO"/>
        </w:rPr>
        <w:t>e 2 porții pe săptămână</w:t>
      </w:r>
      <w:r>
        <w:rPr>
          <w:rStyle w:val="FootnoteAnchor"/>
          <w:rFonts w:ascii="Times New Roman" w:hAnsi="Times New Roman" w:cs="Times New Roman"/>
          <w:color w:val="000000"/>
          <w:lang w:val="ro-RO"/>
        </w:rPr>
        <w:footnoteReference w:id="21"/>
      </w:r>
      <w:r>
        <w:rPr>
          <w:rFonts w:ascii="Times New Roman" w:hAnsi="Times New Roman" w:cs="Times New Roman"/>
          <w:color w:val="000000"/>
          <w:lang w:val="ro-RO"/>
        </w:rPr>
        <w:t>.</w:t>
      </w:r>
    </w:p>
    <w:p w:rsidR="004D1086" w:rsidRDefault="004D1086">
      <w:pPr>
        <w:shd w:val="clear" w:color="auto" w:fill="FFFFFF"/>
        <w:spacing w:after="0" w:line="240" w:lineRule="auto"/>
        <w:ind w:left="660"/>
        <w:jc w:val="both"/>
        <w:rPr>
          <w:rFonts w:ascii="Times New Roman" w:hAnsi="Times New Roman" w:cs="Times New Roman"/>
          <w:color w:val="484C58"/>
          <w:lang w:val="ro-RO"/>
        </w:rPr>
      </w:pPr>
    </w:p>
    <w:p w:rsidR="004D1086" w:rsidRDefault="006E0098">
      <w:pPr>
        <w:pStyle w:val="NormalWeb"/>
        <w:shd w:val="clear" w:color="auto" w:fill="FFFFFF"/>
        <w:spacing w:before="280" w:beforeAutospacing="0" w:after="0" w:afterAutospacing="0"/>
        <w:jc w:val="both"/>
      </w:pPr>
      <w:r>
        <w:rPr>
          <w:rStyle w:val="Strong"/>
          <w:rFonts w:eastAsiaTheme="majorEastAsia"/>
          <w:b w:val="0"/>
          <w:bCs w:val="0"/>
          <w:i/>
          <w:color w:val="000000"/>
          <w:sz w:val="22"/>
          <w:szCs w:val="22"/>
        </w:rPr>
        <w:t>Diabet de tip 2:</w:t>
      </w:r>
    </w:p>
    <w:p w:rsidR="004D1086" w:rsidRDefault="006E0098">
      <w:pPr>
        <w:pStyle w:val="NormalWeb"/>
        <w:shd w:val="clear" w:color="auto" w:fill="FFFFFF"/>
        <w:spacing w:before="280" w:beforeAutospacing="0" w:after="0" w:afterAutospacing="0"/>
        <w:jc w:val="both"/>
      </w:pPr>
      <w:r>
        <w:rPr>
          <w:rStyle w:val="Strong"/>
          <w:rFonts w:eastAsiaTheme="majorEastAsia"/>
          <w:b w:val="0"/>
          <w:bCs w:val="0"/>
          <w:color w:val="000000"/>
          <w:sz w:val="22"/>
          <w:szCs w:val="22"/>
        </w:rPr>
        <w:t>Î</w:t>
      </w:r>
      <w:r>
        <w:rPr>
          <w:color w:val="000000"/>
          <w:sz w:val="22"/>
          <w:szCs w:val="22"/>
        </w:rPr>
        <w:t>nlocuirea cerealelor rafinate cu cereale integrale și consumul de cel puțin 2 porții de cereale integrale pe zi poate ajuta la reducerea riscului de diabet de tip 2. Fibrele, nutrienții și substanțele fitochimic</w:t>
      </w:r>
      <w:r>
        <w:rPr>
          <w:color w:val="000000"/>
          <w:sz w:val="22"/>
          <w:szCs w:val="22"/>
        </w:rPr>
        <w:t>e din cerealele integrale pot îmbunătăți sensibilitatea la insulină și metabolismul glucozei și pot încetini absorbția alimentelor, prevenind creșterile de zahăr din sânge</w:t>
      </w:r>
      <w:r>
        <w:rPr>
          <w:rStyle w:val="FootnoteAnchor"/>
          <w:color w:val="000000"/>
          <w:sz w:val="22"/>
          <w:szCs w:val="22"/>
        </w:rPr>
        <w:footnoteReference w:id="22"/>
      </w:r>
      <w:r>
        <w:rPr>
          <w:color w:val="000000"/>
          <w:sz w:val="22"/>
          <w:szCs w:val="22"/>
        </w:rPr>
        <w:t>. În schimb, cerealele rafinate tind să aibă un indice glicemic ridicat și o încărcă</w:t>
      </w:r>
      <w:r>
        <w:rPr>
          <w:color w:val="000000"/>
          <w:sz w:val="22"/>
          <w:szCs w:val="22"/>
        </w:rPr>
        <w:t>tură glicemică cu mai puține fibre și nutrienți.</w:t>
      </w:r>
    </w:p>
    <w:p w:rsidR="004D1086" w:rsidRDefault="006E0098">
      <w:pPr>
        <w:numPr>
          <w:ilvl w:val="0"/>
          <w:numId w:val="11"/>
        </w:numPr>
        <w:shd w:val="clear" w:color="auto" w:fill="FFFFFF"/>
        <w:spacing w:beforeAutospacing="1" w:after="225" w:line="240" w:lineRule="auto"/>
        <w:ind w:left="1020"/>
        <w:jc w:val="both"/>
        <w:rPr>
          <w:color w:val="000000"/>
        </w:rPr>
      </w:pPr>
      <w:r>
        <w:rPr>
          <w:rFonts w:ascii="Times New Roman" w:hAnsi="Times New Roman" w:cs="Times New Roman"/>
          <w:color w:val="000000"/>
          <w:lang w:val="ro-RO"/>
        </w:rPr>
        <w:t>Într-un studiu efectuat pe mai mult de 160.000 de femei a căror sănătate și obiceiuri alimentare au fost urmărite timp de până la 18 ani, cele care consumau în medie 2 până la 3 porții de cereale integrale p</w:t>
      </w:r>
      <w:r>
        <w:rPr>
          <w:rFonts w:ascii="Times New Roman" w:hAnsi="Times New Roman" w:cs="Times New Roman"/>
          <w:color w:val="000000"/>
          <w:lang w:val="ro-RO"/>
        </w:rPr>
        <w:t xml:space="preserve">e zi au avut cu 30% mai puține șanse de a dezvolta diabet de tip 2 decât cele care au consumat cereale integrale rar. Când cercetătorii au combinat aceste rezultate cu cele ale mai multor alte studii mari, au descoperit că consumul a 2 porții suplimentare </w:t>
      </w:r>
      <w:r>
        <w:rPr>
          <w:rFonts w:ascii="Times New Roman" w:hAnsi="Times New Roman" w:cs="Times New Roman"/>
          <w:color w:val="000000"/>
          <w:lang w:val="ro-RO"/>
        </w:rPr>
        <w:t>de cereale integrale pe zi a scăzut riscul de diabet de tip 2 cu 21%.</w:t>
      </w:r>
    </w:p>
    <w:p w:rsidR="004D1086" w:rsidRDefault="006E0098">
      <w:pPr>
        <w:numPr>
          <w:ilvl w:val="0"/>
          <w:numId w:val="11"/>
        </w:numPr>
        <w:shd w:val="clear" w:color="auto" w:fill="FFFFFF"/>
        <w:spacing w:after="225" w:line="240" w:lineRule="auto"/>
        <w:ind w:left="1020"/>
        <w:jc w:val="both"/>
        <w:rPr>
          <w:lang w:val="ro-RO"/>
        </w:rPr>
      </w:pPr>
      <w:r>
        <w:rPr>
          <w:rFonts w:ascii="Times New Roman" w:hAnsi="Times New Roman" w:cs="Times New Roman"/>
          <w:color w:val="000000"/>
          <w:lang w:val="ro-RO"/>
        </w:rPr>
        <w:t>O continuare a acestui studiu, incluzând bărbați și femei de la Nurses’ Health Studies I și II a constatat că înlocuirea orezului alb cu cereale integrale ar putea ajuta la scăderea risc</w:t>
      </w:r>
      <w:r>
        <w:rPr>
          <w:rFonts w:ascii="Times New Roman" w:hAnsi="Times New Roman" w:cs="Times New Roman"/>
          <w:color w:val="000000"/>
          <w:lang w:val="ro-RO"/>
        </w:rPr>
        <w:t xml:space="preserve">ului de diabet. Cei care au consumat orez alb – cinci sau mai multe porții pe săptămână – au avut un risc cu 17% mai mare de diabet decât cei care au consumat orez alb mai puțin de o dată pe lună. Cei care au consumat </w:t>
      </w:r>
      <w:hyperlink r:id="rId40">
        <w:r>
          <w:rPr>
            <w:rStyle w:val="Hyperlink"/>
            <w:rFonts w:ascii="Times New Roman" w:hAnsi="Times New Roman" w:cs="Times New Roman"/>
            <w:color w:val="000000" w:themeColor="text1"/>
            <w:u w:val="none"/>
            <w:lang w:val="ro-RO"/>
          </w:rPr>
          <w:t>orez brun</w:t>
        </w:r>
      </w:hyperlink>
      <w:r>
        <w:rPr>
          <w:rFonts w:ascii="Times New Roman" w:hAnsi="Times New Roman" w:cs="Times New Roman"/>
          <w:color w:val="000000"/>
          <w:lang w:val="ro-RO"/>
        </w:rPr>
        <w:t xml:space="preserve">- două sau mai multe porții pe săptămână - au avut un risc cu 11% mai mic de diabet decât cei care au consumat rar orez brun. Cercetătorii estimează că folosirea cerealelor integrale ar putea reduce </w:t>
      </w:r>
      <w:r>
        <w:rPr>
          <w:rFonts w:ascii="Times New Roman" w:hAnsi="Times New Roman" w:cs="Times New Roman"/>
          <w:color w:val="000000"/>
          <w:lang w:val="ro-RO"/>
        </w:rPr>
        <w:t>riscul de diabet cu 36%.</w:t>
      </w:r>
    </w:p>
    <w:p w:rsidR="004D1086" w:rsidRDefault="006E0098">
      <w:pPr>
        <w:numPr>
          <w:ilvl w:val="0"/>
          <w:numId w:val="11"/>
        </w:numPr>
        <w:shd w:val="clear" w:color="auto" w:fill="FFFFFF"/>
        <w:spacing w:after="225" w:line="240" w:lineRule="auto"/>
        <w:ind w:left="1020"/>
        <w:jc w:val="both"/>
        <w:rPr>
          <w:color w:val="000000"/>
        </w:rPr>
      </w:pPr>
      <w:r>
        <w:rPr>
          <w:rFonts w:ascii="Times New Roman" w:hAnsi="Times New Roman" w:cs="Times New Roman"/>
          <w:color w:val="000000"/>
          <w:lang w:val="ro-RO"/>
        </w:rPr>
        <w:t>Un studiu amplu efectuat pe peste 72.000 de femei în postmenopauză a relevat faptul că, consumul ridicat de cereale integrale reduce riscul de diabet de tip 2. Un risc redus cu 43% a fost găsit la femeile care consumă o cantitate m</w:t>
      </w:r>
      <w:r>
        <w:rPr>
          <w:rFonts w:ascii="Times New Roman" w:hAnsi="Times New Roman" w:cs="Times New Roman"/>
          <w:color w:val="000000"/>
          <w:lang w:val="ro-RO"/>
        </w:rPr>
        <w:t>are de cereale integrale (2 sau mai multe porții pe zi) în comparație cu cele care nu consumau cereale integrale.</w:t>
      </w:r>
    </w:p>
    <w:p w:rsidR="004D1086" w:rsidRDefault="006E0098">
      <w:pPr>
        <w:pStyle w:val="NormalWeb"/>
        <w:shd w:val="clear" w:color="auto" w:fill="FFFFFF"/>
        <w:spacing w:before="280" w:beforeAutospacing="0" w:after="0" w:afterAutospacing="0"/>
        <w:jc w:val="both"/>
      </w:pPr>
      <w:r>
        <w:rPr>
          <w:rStyle w:val="Strong"/>
          <w:rFonts w:eastAsiaTheme="majorEastAsia"/>
          <w:b w:val="0"/>
          <w:bCs w:val="0"/>
          <w:i/>
          <w:color w:val="000000"/>
          <w:sz w:val="22"/>
          <w:szCs w:val="22"/>
        </w:rPr>
        <w:t>Cancer:</w:t>
      </w:r>
    </w:p>
    <w:p w:rsidR="004D1086" w:rsidRDefault="006E0098">
      <w:pPr>
        <w:pStyle w:val="NormalWeb"/>
        <w:shd w:val="clear" w:color="auto" w:fill="FFFFFF"/>
        <w:spacing w:before="280" w:beforeAutospacing="0" w:after="0" w:afterAutospacing="0"/>
        <w:jc w:val="both"/>
        <w:rPr>
          <w:color w:val="000000"/>
        </w:rPr>
      </w:pPr>
      <w:r>
        <w:rPr>
          <w:color w:val="000000"/>
          <w:sz w:val="22"/>
          <w:szCs w:val="22"/>
        </w:rPr>
        <w:lastRenderedPageBreak/>
        <w:t>Datele despre cancer sunt amestecate, unele studii arătând un efect protector al cerealelor integrale, iar altele nu arată niciun efec</w:t>
      </w:r>
      <w:r>
        <w:rPr>
          <w:color w:val="000000"/>
          <w:sz w:val="22"/>
          <w:szCs w:val="22"/>
        </w:rPr>
        <w:t>t</w:t>
      </w:r>
      <w:r>
        <w:rPr>
          <w:rStyle w:val="FootnoteAnchor"/>
          <w:color w:val="000000"/>
          <w:sz w:val="22"/>
          <w:szCs w:val="22"/>
        </w:rPr>
        <w:footnoteReference w:id="23"/>
      </w:r>
      <w:r>
        <w:rPr>
          <w:color w:val="000000"/>
          <w:sz w:val="22"/>
          <w:szCs w:val="22"/>
        </w:rPr>
        <w:t>.</w:t>
      </w:r>
    </w:p>
    <w:p w:rsidR="004D1086" w:rsidRDefault="006E0098">
      <w:pPr>
        <w:numPr>
          <w:ilvl w:val="0"/>
          <w:numId w:val="12"/>
        </w:numPr>
        <w:shd w:val="clear" w:color="auto" w:fill="FFFFFF"/>
        <w:spacing w:beforeAutospacing="1" w:after="225" w:line="240" w:lineRule="auto"/>
        <w:ind w:left="1020"/>
        <w:jc w:val="both"/>
        <w:rPr>
          <w:color w:val="000000"/>
        </w:rPr>
      </w:pPr>
      <w:r>
        <w:rPr>
          <w:rFonts w:ascii="Times New Roman" w:hAnsi="Times New Roman" w:cs="Times New Roman"/>
          <w:color w:val="000000"/>
          <w:lang w:val="ro-RO"/>
        </w:rPr>
        <w:t xml:space="preserve">Un studiu amplu de cinci ani efectuat la aproape 500.000 de bărbați și femei sugerează că consumul de cereale integrale, dar nu și de fibre alimentare, oferă o protecție modestă împotriva cancerului colorectal. O revizuire a patru studii populaționale </w:t>
      </w:r>
      <w:r>
        <w:rPr>
          <w:rFonts w:ascii="Times New Roman" w:hAnsi="Times New Roman" w:cs="Times New Roman"/>
          <w:color w:val="000000"/>
          <w:lang w:val="ro-RO"/>
        </w:rPr>
        <w:t>mari a arătat, de asemenea, un efect protector al cerealelor integrale împotriva cancerului colorectal, cu o reducere cumulativă a riscului de 21%.</w:t>
      </w:r>
    </w:p>
    <w:p w:rsidR="004D1086" w:rsidRDefault="004D1086">
      <w:pPr>
        <w:spacing w:after="0" w:line="240" w:lineRule="auto"/>
        <w:jc w:val="both"/>
        <w:rPr>
          <w:rFonts w:ascii="Times New Roman" w:hAnsi="Times New Roman" w:cs="Times New Roman"/>
          <w:color w:val="0070C0"/>
          <w:lang w:val="ro-RO"/>
        </w:rPr>
      </w:pPr>
    </w:p>
    <w:p w:rsidR="004D1086" w:rsidRDefault="004D1086">
      <w:pPr>
        <w:spacing w:after="0" w:line="240" w:lineRule="auto"/>
        <w:jc w:val="both"/>
        <w:rPr>
          <w:rFonts w:ascii="Times New Roman" w:hAnsi="Times New Roman" w:cs="Times New Roman"/>
          <w:color w:val="0070C0"/>
          <w:lang w:val="ro-RO"/>
        </w:rPr>
      </w:pPr>
    </w:p>
    <w:p w:rsidR="004D1086" w:rsidRDefault="004D1086">
      <w:pPr>
        <w:spacing w:after="0" w:line="240" w:lineRule="auto"/>
        <w:jc w:val="both"/>
        <w:rPr>
          <w:rFonts w:ascii="Times New Roman" w:hAnsi="Times New Roman" w:cs="Times New Roman"/>
          <w:color w:val="0070C0"/>
          <w:lang w:val="ro-RO"/>
        </w:rPr>
      </w:pPr>
    </w:p>
    <w:p w:rsidR="004D1086" w:rsidRDefault="004D1086">
      <w:pPr>
        <w:spacing w:after="0" w:line="240" w:lineRule="auto"/>
        <w:jc w:val="both"/>
        <w:rPr>
          <w:rFonts w:ascii="Times New Roman" w:hAnsi="Times New Roman" w:cs="Times New Roman"/>
          <w:color w:val="0070C0"/>
          <w:lang w:val="ro-RO"/>
        </w:rPr>
      </w:pPr>
    </w:p>
    <w:p w:rsidR="004D1086" w:rsidRDefault="006E0098">
      <w:pPr>
        <w:spacing w:after="0" w:line="240" w:lineRule="auto"/>
        <w:jc w:val="both"/>
        <w:rPr>
          <w:b/>
          <w:bCs/>
          <w:color w:val="0000FF"/>
        </w:rPr>
      </w:pPr>
      <w:r>
        <w:rPr>
          <w:rFonts w:ascii="Times New Roman" w:hAnsi="Times New Roman" w:cs="Times New Roman"/>
          <w:b/>
          <w:bCs/>
          <w:color w:val="0000FF"/>
          <w:lang w:val="ro-RO"/>
        </w:rPr>
        <w:t xml:space="preserve">4. </w:t>
      </w:r>
      <w:r>
        <w:rPr>
          <w:rFonts w:ascii="Times New Roman" w:hAnsi="Times New Roman" w:cs="Times New Roman"/>
          <w:b/>
          <w:bCs/>
          <w:iCs/>
          <w:color w:val="0000FF"/>
          <w:lang w:val="ro-RO" w:eastAsia="ro-RO"/>
        </w:rPr>
        <w:t>R</w:t>
      </w:r>
      <w:r>
        <w:rPr>
          <w:rFonts w:ascii="Times New Roman" w:hAnsi="Times New Roman" w:cs="Times New Roman"/>
          <w:b/>
          <w:bCs/>
          <w:iCs/>
          <w:color w:val="0000FF"/>
          <w:lang w:val="ro-RO" w:eastAsia="ro-RO"/>
        </w:rPr>
        <w:t xml:space="preserve">EZULTATE OBȚINUTE ÎN URMA APLICĂRII CHESTIONARULUI  PRIVIND CUNOȘTINȚELE,  APTITUDINILE ȘI PRACTICILE LEGATE DE ALIMENTAȚIA SĂNĂTOASĂ </w:t>
      </w:r>
    </w:p>
    <w:p w:rsidR="004D1086" w:rsidRDefault="004D1086">
      <w:pPr>
        <w:spacing w:after="0" w:line="240" w:lineRule="auto"/>
        <w:jc w:val="both"/>
        <w:rPr>
          <w:rFonts w:ascii="Times New Roman" w:hAnsi="Times New Roman" w:cs="Times New Roman"/>
          <w:iCs/>
          <w:color w:val="0070C0"/>
          <w:lang w:val="ro-RO"/>
        </w:rPr>
      </w:pPr>
    </w:p>
    <w:p w:rsidR="004D1086" w:rsidRDefault="006E0098">
      <w:pPr>
        <w:spacing w:after="0" w:line="240" w:lineRule="auto"/>
        <w:jc w:val="both"/>
        <w:rPr>
          <w:rFonts w:ascii="Times New Roman" w:hAnsi="Times New Roman" w:cs="Times New Roman"/>
          <w:color w:val="0070C0"/>
          <w:lang w:val="ro-RO"/>
        </w:rPr>
      </w:pPr>
      <w:r>
        <w:rPr>
          <w:rFonts w:ascii="Times New Roman" w:eastAsia="Times New Roman" w:hAnsi="Times New Roman" w:cs="Times New Roman"/>
          <w:lang w:val="ro-RO" w:eastAsia="ro-RO"/>
        </w:rPr>
        <w:t xml:space="preserve">În perioda 31 august-8 septembrie a fost diseminat online, prin intermediul Direcțiilor de Sănătate Publică Județene un </w:t>
      </w:r>
      <w:r>
        <w:rPr>
          <w:rFonts w:ascii="Times New Roman" w:eastAsia="Times New Roman" w:hAnsi="Times New Roman" w:cs="Times New Roman"/>
          <w:lang w:val="ro-RO" w:eastAsia="ro-RO"/>
        </w:rPr>
        <w:t>chestionar pentru evaluarea cunoștințelor, atitudinilor și comportamentelor adulților cu privire la practicile populației privind alimentația sănătoasă. Participarea a fost voluntară și anonimă. Au fost prelucrate în final 873 răspunsuri.</w:t>
      </w:r>
    </w:p>
    <w:p w:rsidR="004D1086" w:rsidRDefault="004D1086">
      <w:pPr>
        <w:spacing w:after="0" w:line="240" w:lineRule="auto"/>
        <w:jc w:val="both"/>
        <w:rPr>
          <w:rFonts w:ascii="Times New Roman" w:hAnsi="Times New Roman" w:cs="Times New Roman"/>
          <w:color w:val="0070C0"/>
          <w:lang w:val="ro-RO"/>
        </w:rPr>
      </w:pPr>
    </w:p>
    <w:p w:rsidR="004D1086" w:rsidRDefault="006E0098">
      <w:pPr>
        <w:spacing w:after="0" w:line="240" w:lineRule="auto"/>
        <w:jc w:val="both"/>
        <w:rPr>
          <w:rFonts w:ascii="Times New Roman" w:hAnsi="Times New Roman" w:cs="Times New Roman"/>
          <w:lang w:val="ro-RO"/>
        </w:rPr>
      </w:pPr>
      <w:r>
        <w:rPr>
          <w:rFonts w:ascii="Times New Roman" w:hAnsi="Times New Roman" w:cs="Times New Roman"/>
          <w:lang w:val="ro-RO"/>
        </w:rPr>
        <w:t>88% dintre respo</w:t>
      </w:r>
      <w:r>
        <w:rPr>
          <w:rFonts w:ascii="Times New Roman" w:hAnsi="Times New Roman" w:cs="Times New Roman"/>
          <w:lang w:val="ro-RO"/>
        </w:rPr>
        <w:t>ndenți au fost femei, 51,6% cu mediul de rezidență urban, 71,5% cu studii universitare și 25,9% studii liceale.</w:t>
      </w:r>
    </w:p>
    <w:p w:rsidR="004D1086" w:rsidRDefault="006E0098">
      <w:pPr>
        <w:spacing w:after="0" w:line="240" w:lineRule="auto"/>
        <w:jc w:val="both"/>
        <w:rPr>
          <w:rFonts w:ascii="Times New Roman" w:hAnsi="Times New Roman" w:cs="Times New Roman"/>
          <w:lang w:val="ro-RO"/>
        </w:rPr>
      </w:pPr>
      <w:r>
        <w:rPr>
          <w:rFonts w:ascii="Times New Roman" w:hAnsi="Times New Roman" w:cs="Times New Roman"/>
          <w:lang w:val="ro-RO"/>
        </w:rPr>
        <w:t xml:space="preserve">Din calculul indicelui de masă corporală s-a observat că majoritatea, respectiv 35% dintre persoane sunt supraponderale și 25% prezintă </w:t>
      </w:r>
      <w:r>
        <w:rPr>
          <w:rFonts w:ascii="Times New Roman" w:hAnsi="Times New Roman" w:cs="Times New Roman"/>
          <w:lang w:val="ro-RO"/>
        </w:rPr>
        <w:t>obezitate. 38% au niveluri normale ale greutății (vezi figura de mai jos).</w:t>
      </w:r>
    </w:p>
    <w:p w:rsidR="004D1086" w:rsidRDefault="004D1086">
      <w:pPr>
        <w:spacing w:after="0" w:line="240" w:lineRule="auto"/>
        <w:jc w:val="both"/>
        <w:rPr>
          <w:rFonts w:ascii="Times New Roman" w:hAnsi="Times New Roman" w:cs="Times New Roman"/>
          <w:color w:val="0070C0"/>
          <w:lang w:val="ro-RO"/>
        </w:rPr>
      </w:pPr>
    </w:p>
    <w:p w:rsidR="004D1086" w:rsidRDefault="006E0098">
      <w:pPr>
        <w:spacing w:after="0" w:line="240" w:lineRule="auto"/>
        <w:jc w:val="center"/>
        <w:rPr>
          <w:rFonts w:ascii="Times New Roman" w:hAnsi="Times New Roman" w:cs="Times New Roman"/>
          <w:color w:val="0070C0"/>
          <w:lang w:val="ro-RO"/>
        </w:rPr>
      </w:pPr>
      <w:r>
        <w:rPr>
          <w:noProof/>
        </w:rPr>
        <w:drawing>
          <wp:inline distT="0" distB="0" distL="0" distR="0">
            <wp:extent cx="3666490" cy="2131060"/>
            <wp:effectExtent l="0" t="0" r="0" b="0"/>
            <wp:docPr id="18" name="Graf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c 13"/>
                    <pic:cNvPicPr>
                      <a:picLocks noChangeAspect="1" noChangeArrowheads="1"/>
                    </pic:cNvPicPr>
                  </pic:nvPicPr>
                  <pic:blipFill>
                    <a:blip r:embed="rId41"/>
                    <a:stretch>
                      <a:fillRect/>
                    </a:stretch>
                  </pic:blipFill>
                  <pic:spPr bwMode="auto">
                    <a:xfrm>
                      <a:off x="0" y="0"/>
                      <a:ext cx="3666490" cy="2131060"/>
                    </a:xfrm>
                    <a:prstGeom prst="rect">
                      <a:avLst/>
                    </a:prstGeom>
                  </pic:spPr>
                </pic:pic>
              </a:graphicData>
            </a:graphic>
          </wp:inline>
        </w:drawing>
      </w:r>
    </w:p>
    <w:p w:rsidR="004D1086" w:rsidRDefault="004D1086">
      <w:pPr>
        <w:spacing w:after="0" w:line="240" w:lineRule="auto"/>
        <w:jc w:val="both"/>
        <w:rPr>
          <w:rFonts w:ascii="Times New Roman" w:hAnsi="Times New Roman" w:cs="Times New Roman"/>
          <w:color w:val="0070C0"/>
          <w:lang w:val="ro-RO"/>
        </w:rPr>
      </w:pPr>
    </w:p>
    <w:p w:rsidR="004D1086" w:rsidRDefault="006E0098">
      <w:pPr>
        <w:spacing w:after="0" w:line="240" w:lineRule="auto"/>
        <w:jc w:val="both"/>
        <w:rPr>
          <w:rFonts w:ascii="Times New Roman" w:hAnsi="Times New Roman" w:cs="Times New Roman"/>
          <w:lang w:val="ro-RO"/>
        </w:rPr>
      </w:pPr>
      <w:r>
        <w:rPr>
          <w:rFonts w:ascii="Times New Roman" w:hAnsi="Times New Roman" w:cs="Times New Roman"/>
          <w:lang w:val="ro-RO"/>
        </w:rPr>
        <w:t>Respondenții au afirmat în proporție de 74% că nu sunt în evidență cu o boală cronică. Dintre cei care prezintă o afecțiune cronică 10,5% au HTA, aproximativ 4% diabet, 1,4% can</w:t>
      </w:r>
      <w:r>
        <w:rPr>
          <w:rFonts w:ascii="Times New Roman" w:hAnsi="Times New Roman" w:cs="Times New Roman"/>
          <w:lang w:val="ro-RO"/>
        </w:rPr>
        <w:t>cer, 1,8% afecțiuni hepatice. Majoritatea, 52% caută informații referitoare la stilul de viață sănătos, iar ca surse de informare, majoritatea le iau de pe internet sau de la specialiști (vezi figura de mai jos):</w:t>
      </w:r>
    </w:p>
    <w:p w:rsidR="004D1086" w:rsidRDefault="004D1086">
      <w:pPr>
        <w:spacing w:after="0" w:line="240" w:lineRule="auto"/>
        <w:jc w:val="both"/>
        <w:rPr>
          <w:rFonts w:ascii="Times New Roman" w:hAnsi="Times New Roman" w:cs="Times New Roman"/>
          <w:lang w:val="ro-RO"/>
        </w:rPr>
      </w:pPr>
    </w:p>
    <w:p w:rsidR="004D1086" w:rsidRDefault="006E0098">
      <w:pPr>
        <w:spacing w:after="0" w:line="240" w:lineRule="auto"/>
        <w:jc w:val="both"/>
        <w:rPr>
          <w:rFonts w:ascii="Times New Roman" w:hAnsi="Times New Roman" w:cs="Times New Roman"/>
          <w:color w:val="0070C0"/>
          <w:lang w:val="ro-RO"/>
        </w:rPr>
      </w:pPr>
      <w:r>
        <w:rPr>
          <w:noProof/>
        </w:rPr>
        <w:lastRenderedPageBreak/>
        <w:drawing>
          <wp:inline distT="0" distB="0" distL="0" distR="0">
            <wp:extent cx="5828665" cy="1937385"/>
            <wp:effectExtent l="0" t="0" r="0" b="0"/>
            <wp:docPr id="19"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4"/>
                    <pic:cNvPicPr>
                      <a:picLocks noChangeAspect="1" noChangeArrowheads="1"/>
                    </pic:cNvPicPr>
                  </pic:nvPicPr>
                  <pic:blipFill>
                    <a:blip r:embed="rId42"/>
                    <a:srcRect l="1699" t="23051" r="3016" b="10344"/>
                    <a:stretch>
                      <a:fillRect/>
                    </a:stretch>
                  </pic:blipFill>
                  <pic:spPr bwMode="auto">
                    <a:xfrm>
                      <a:off x="0" y="0"/>
                      <a:ext cx="5828665" cy="1937385"/>
                    </a:xfrm>
                    <a:prstGeom prst="rect">
                      <a:avLst/>
                    </a:prstGeom>
                  </pic:spPr>
                </pic:pic>
              </a:graphicData>
            </a:graphic>
          </wp:inline>
        </w:drawing>
      </w:r>
    </w:p>
    <w:p w:rsidR="004D1086" w:rsidRDefault="004D1086">
      <w:pPr>
        <w:spacing w:after="0" w:line="240" w:lineRule="auto"/>
        <w:jc w:val="both"/>
        <w:rPr>
          <w:rFonts w:ascii="Times New Roman" w:hAnsi="Times New Roman" w:cs="Times New Roman"/>
          <w:lang w:val="ro-RO"/>
        </w:rPr>
      </w:pPr>
    </w:p>
    <w:p w:rsidR="004D1086" w:rsidRDefault="006E0098">
      <w:pPr>
        <w:spacing w:after="0" w:line="240" w:lineRule="auto"/>
        <w:jc w:val="both"/>
        <w:rPr>
          <w:rFonts w:ascii="Times New Roman" w:hAnsi="Times New Roman" w:cs="Times New Roman"/>
          <w:lang w:val="ro-RO"/>
        </w:rPr>
      </w:pPr>
      <w:r>
        <w:rPr>
          <w:rFonts w:ascii="Times New Roman" w:hAnsi="Times New Roman" w:cs="Times New Roman"/>
          <w:lang w:val="ro-RO"/>
        </w:rPr>
        <w:t>Chiar dacă afirmativ respondenții cunos</w:t>
      </w:r>
      <w:r>
        <w:rPr>
          <w:rFonts w:ascii="Times New Roman" w:hAnsi="Times New Roman" w:cs="Times New Roman"/>
          <w:lang w:val="ro-RO"/>
        </w:rPr>
        <w:t xml:space="preserve">c principiile unui stil de viață sănătos, majoritatea, 41,7% consideră că nu au o alimentație sănătoasă. </w:t>
      </w:r>
    </w:p>
    <w:p w:rsidR="004D1086" w:rsidRDefault="004D1086">
      <w:pPr>
        <w:spacing w:after="0" w:line="240" w:lineRule="auto"/>
        <w:jc w:val="both"/>
        <w:rPr>
          <w:rFonts w:ascii="Times New Roman" w:hAnsi="Times New Roman" w:cs="Times New Roman"/>
          <w:lang w:val="ro-RO"/>
        </w:rPr>
      </w:pPr>
    </w:p>
    <w:p w:rsidR="004D1086" w:rsidRDefault="006E0098">
      <w:pPr>
        <w:spacing w:after="0" w:line="240" w:lineRule="auto"/>
        <w:jc w:val="both"/>
        <w:rPr>
          <w:rFonts w:ascii="Times New Roman" w:hAnsi="Times New Roman" w:cs="Times New Roman"/>
          <w:lang w:val="ro-RO"/>
        </w:rPr>
      </w:pPr>
      <w:r>
        <w:rPr>
          <w:rFonts w:ascii="Times New Roman" w:hAnsi="Times New Roman" w:cs="Times New Roman"/>
          <w:lang w:val="ro-RO"/>
        </w:rPr>
        <w:t>62,6% preferă cerealele integrale, iar consumul acestora este reprezentat mai jos:</w:t>
      </w:r>
    </w:p>
    <w:p w:rsidR="004D1086" w:rsidRDefault="006E0098">
      <w:pPr>
        <w:spacing w:after="0" w:line="240" w:lineRule="auto"/>
        <w:jc w:val="both"/>
        <w:rPr>
          <w:rFonts w:ascii="Times New Roman" w:hAnsi="Times New Roman" w:cs="Times New Roman"/>
          <w:lang w:val="ro-RO"/>
        </w:rPr>
      </w:pPr>
      <w:r>
        <w:rPr>
          <w:noProof/>
        </w:rPr>
        <w:drawing>
          <wp:inline distT="0" distB="0" distL="0" distR="0">
            <wp:extent cx="5137785" cy="2331085"/>
            <wp:effectExtent l="0" t="0" r="0" b="0"/>
            <wp:docPr id="20"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ine 17"/>
                    <pic:cNvPicPr>
                      <a:picLocks noChangeAspect="1" noChangeArrowheads="1"/>
                    </pic:cNvPicPr>
                  </pic:nvPicPr>
                  <pic:blipFill>
                    <a:blip r:embed="rId43"/>
                    <a:stretch>
                      <a:fillRect/>
                    </a:stretch>
                  </pic:blipFill>
                  <pic:spPr bwMode="auto">
                    <a:xfrm>
                      <a:off x="0" y="0"/>
                      <a:ext cx="5137785" cy="2331085"/>
                    </a:xfrm>
                    <a:prstGeom prst="rect">
                      <a:avLst/>
                    </a:prstGeom>
                  </pic:spPr>
                </pic:pic>
              </a:graphicData>
            </a:graphic>
          </wp:inline>
        </w:drawing>
      </w:r>
    </w:p>
    <w:p w:rsidR="004D1086" w:rsidRDefault="004D1086">
      <w:pPr>
        <w:spacing w:after="0" w:line="240" w:lineRule="auto"/>
        <w:jc w:val="center"/>
        <w:rPr>
          <w:rFonts w:ascii="Times New Roman" w:hAnsi="Times New Roman" w:cs="Times New Roman"/>
          <w:color w:val="0070C0"/>
          <w:lang w:val="ro-RO"/>
        </w:rPr>
      </w:pPr>
    </w:p>
    <w:p w:rsidR="004D1086" w:rsidRDefault="006E0098">
      <w:pPr>
        <w:spacing w:after="0" w:line="240" w:lineRule="auto"/>
        <w:jc w:val="both"/>
        <w:rPr>
          <w:rFonts w:ascii="Times New Roman" w:hAnsi="Times New Roman" w:cs="Times New Roman"/>
          <w:lang w:val="ro-RO"/>
        </w:rPr>
      </w:pPr>
      <w:r>
        <w:rPr>
          <w:rFonts w:ascii="Times New Roman" w:hAnsi="Times New Roman" w:cs="Times New Roman"/>
          <w:lang w:val="ro-RO"/>
        </w:rPr>
        <w:t>În ceea ce privește cerealele rafinate, dulciurile, produsele d</w:t>
      </w:r>
      <w:r>
        <w:rPr>
          <w:rFonts w:ascii="Times New Roman" w:hAnsi="Times New Roman" w:cs="Times New Roman"/>
          <w:lang w:val="ro-RO"/>
        </w:rPr>
        <w:t>e patiserie, un procent relativ mare de aproximativ 40% consumă aceste produse zilnic sau frecvent. 33% consumă crackers și floricele de porumb.</w:t>
      </w:r>
      <w:r>
        <w:rPr>
          <w:noProof/>
        </w:rPr>
        <w:drawing>
          <wp:inline distT="0" distB="0" distL="0" distR="0">
            <wp:extent cx="4413885" cy="2002790"/>
            <wp:effectExtent l="0" t="0" r="0" b="0"/>
            <wp:docPr id="21"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ine 18"/>
                    <pic:cNvPicPr>
                      <a:picLocks noChangeAspect="1" noChangeArrowheads="1"/>
                    </pic:cNvPicPr>
                  </pic:nvPicPr>
                  <pic:blipFill>
                    <a:blip r:embed="rId44"/>
                    <a:stretch>
                      <a:fillRect/>
                    </a:stretch>
                  </pic:blipFill>
                  <pic:spPr bwMode="auto">
                    <a:xfrm>
                      <a:off x="0" y="0"/>
                      <a:ext cx="4413885" cy="2002790"/>
                    </a:xfrm>
                    <a:prstGeom prst="rect">
                      <a:avLst/>
                    </a:prstGeom>
                  </pic:spPr>
                </pic:pic>
              </a:graphicData>
            </a:graphic>
          </wp:inline>
        </w:drawing>
      </w:r>
    </w:p>
    <w:p w:rsidR="004D1086" w:rsidRDefault="006E0098">
      <w:pPr>
        <w:spacing w:after="0" w:line="240" w:lineRule="auto"/>
        <w:jc w:val="both"/>
        <w:rPr>
          <w:rFonts w:ascii="Times New Roman" w:hAnsi="Times New Roman" w:cs="Times New Roman"/>
          <w:color w:val="0070C0"/>
          <w:lang w:val="ro-RO"/>
        </w:rPr>
      </w:pPr>
      <w:r>
        <w:rPr>
          <w:rFonts w:ascii="Times New Roman" w:hAnsi="Times New Roman" w:cs="Times New Roman"/>
          <w:color w:val="202124"/>
          <w:spacing w:val="1"/>
          <w:shd w:val="clear" w:color="auto" w:fill="FFFFFF"/>
          <w:lang w:val="ro-RO"/>
        </w:rPr>
        <w:t>În ceea ce privește nivelul de îndeplinire a recomandărilor OMS privind activitatea fizică zilnică, aproximati</w:t>
      </w:r>
      <w:r>
        <w:rPr>
          <w:rFonts w:ascii="Times New Roman" w:hAnsi="Times New Roman" w:cs="Times New Roman"/>
          <w:color w:val="202124"/>
          <w:spacing w:val="1"/>
          <w:shd w:val="clear" w:color="auto" w:fill="FFFFFF"/>
          <w:lang w:val="ro-RO"/>
        </w:rPr>
        <w:t>v 50% îndeplinesc recomandările OMS de efectuare a cel puțin 150 de minute de activitate fizică aerobă de intensitate moderată pe săptămână (de exemplu mers în ritm rapid, dans, grădinărit, activități casnice, jocuri active, plimbatul animalelor de compani</w:t>
      </w:r>
      <w:r>
        <w:rPr>
          <w:rFonts w:ascii="Times New Roman" w:hAnsi="Times New Roman" w:cs="Times New Roman"/>
          <w:color w:val="202124"/>
          <w:spacing w:val="1"/>
          <w:shd w:val="clear" w:color="auto" w:fill="FFFFFF"/>
          <w:lang w:val="ro-RO"/>
        </w:rPr>
        <w:t>e, activități în construcții, curățirea locuinței, căratul unor greutăți sub 20 kg) și 35% aproximativ 90 de minute de efort fizic mediu.</w:t>
      </w:r>
    </w:p>
    <w:p w:rsidR="004D1086" w:rsidRDefault="006E0098">
      <w:pPr>
        <w:spacing w:after="0" w:line="240" w:lineRule="auto"/>
        <w:jc w:val="both"/>
        <w:rPr>
          <w:rFonts w:ascii="Times New Roman" w:hAnsi="Times New Roman" w:cs="Times New Roman"/>
          <w:color w:val="0070C0"/>
          <w:lang w:val="ro-RO"/>
        </w:rPr>
      </w:pPr>
      <w:r>
        <w:rPr>
          <w:noProof/>
        </w:rPr>
        <w:lastRenderedPageBreak/>
        <w:drawing>
          <wp:inline distT="0" distB="0" distL="0" distR="0">
            <wp:extent cx="4812030" cy="2183130"/>
            <wp:effectExtent l="0" t="0" r="0" b="0"/>
            <wp:docPr id="22"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ine 19"/>
                    <pic:cNvPicPr>
                      <a:picLocks noChangeAspect="1" noChangeArrowheads="1"/>
                    </pic:cNvPicPr>
                  </pic:nvPicPr>
                  <pic:blipFill>
                    <a:blip r:embed="rId45"/>
                    <a:stretch>
                      <a:fillRect/>
                    </a:stretch>
                  </pic:blipFill>
                  <pic:spPr bwMode="auto">
                    <a:xfrm>
                      <a:off x="0" y="0"/>
                      <a:ext cx="4812030" cy="2183130"/>
                    </a:xfrm>
                    <a:prstGeom prst="rect">
                      <a:avLst/>
                    </a:prstGeom>
                  </pic:spPr>
                </pic:pic>
              </a:graphicData>
            </a:graphic>
          </wp:inline>
        </w:drawing>
      </w:r>
    </w:p>
    <w:p w:rsidR="004D1086" w:rsidRDefault="004D1086">
      <w:pPr>
        <w:spacing w:after="0" w:line="240" w:lineRule="auto"/>
        <w:jc w:val="both"/>
        <w:rPr>
          <w:rFonts w:ascii="Times New Roman" w:hAnsi="Times New Roman" w:cs="Times New Roman"/>
          <w:color w:val="0070C0"/>
          <w:lang w:val="ro-RO"/>
        </w:rPr>
      </w:pPr>
    </w:p>
    <w:p w:rsidR="004D1086" w:rsidRDefault="006E0098">
      <w:pPr>
        <w:spacing w:after="0" w:line="240" w:lineRule="auto"/>
        <w:jc w:val="both"/>
        <w:rPr>
          <w:rFonts w:ascii="Times New Roman" w:hAnsi="Times New Roman" w:cs="Times New Roman"/>
          <w:lang w:val="ro-RO"/>
        </w:rPr>
      </w:pPr>
      <w:r>
        <w:rPr>
          <w:rFonts w:ascii="Times New Roman" w:hAnsi="Times New Roman" w:cs="Times New Roman"/>
          <w:lang w:val="ro-RO"/>
        </w:rPr>
        <w:t xml:space="preserve">În acord cu rezultatele menționate mai sus, 95% dintre cei chestionați doresc să-și îmbunătățească stilul de viață </w:t>
      </w:r>
      <w:r>
        <w:rPr>
          <w:rFonts w:ascii="Times New Roman" w:hAnsi="Times New Roman" w:cs="Times New Roman"/>
          <w:lang w:val="ro-RO"/>
        </w:rPr>
        <w:t>ș</w:t>
      </w:r>
      <w:r>
        <w:rPr>
          <w:rFonts w:ascii="Times New Roman" w:hAnsi="Times New Roman" w:cs="Times New Roman"/>
          <w:lang w:val="ro-RO"/>
        </w:rPr>
        <w:t>i în special obiceiurile alimentare. Chiar dacă 71% nu au consultat un specialist în domeniu, ex. nutriționist, 10% intenționează să ceară ajutorul nutriționistului.</w:t>
      </w:r>
    </w:p>
    <w:sectPr w:rsidR="004D1086">
      <w:footerReference w:type="default" r:id="rId46"/>
      <w:pgSz w:w="11906" w:h="16838"/>
      <w:pgMar w:top="851" w:right="1134" w:bottom="851" w:left="1134" w:header="0" w:footer="340" w:gutter="0"/>
      <w:cols w:space="720"/>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098" w:rsidRDefault="006E0098">
      <w:pPr>
        <w:spacing w:after="0" w:line="240" w:lineRule="auto"/>
      </w:pPr>
      <w:r>
        <w:separator/>
      </w:r>
    </w:p>
  </w:endnote>
  <w:endnote w:type="continuationSeparator" w:id="0">
    <w:p w:rsidR="006E0098" w:rsidRDefault="006E0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086" w:rsidRDefault="006E0098">
    <w:pPr>
      <w:pStyle w:val="Footer"/>
      <w:jc w:val="right"/>
    </w:pPr>
    <w:r>
      <w:fldChar w:fldCharType="begin"/>
    </w:r>
    <w:r>
      <w:instrText>PAGE</w:instrText>
    </w:r>
    <w:r>
      <w:fldChar w:fldCharType="separate"/>
    </w:r>
    <w:r w:rsidR="001D2240">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086" w:rsidRDefault="006E0098">
    <w:pPr>
      <w:pStyle w:val="Footer"/>
      <w:jc w:val="right"/>
    </w:pPr>
    <w:r>
      <w:fldChar w:fldCharType="begin"/>
    </w:r>
    <w:r>
      <w:instrText>PAGE</w:instrText>
    </w:r>
    <w:r>
      <w:fldChar w:fldCharType="separate"/>
    </w:r>
    <w:r w:rsidR="001D2240">
      <w:rPr>
        <w:noProof/>
      </w:rPr>
      <w:t>14</w:t>
    </w:r>
    <w:r>
      <w:fldChar w:fldCharType="end"/>
    </w:r>
  </w:p>
  <w:p w:rsidR="004D1086" w:rsidRDefault="004D1086">
    <w:pPr>
      <w:pStyle w:val="Footer"/>
    </w:pPr>
  </w:p>
  <w:p w:rsidR="004D1086" w:rsidRDefault="004D10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098" w:rsidRDefault="006E0098">
      <w:pPr>
        <w:rPr>
          <w:sz w:val="12"/>
        </w:rPr>
      </w:pPr>
      <w:r>
        <w:separator/>
      </w:r>
    </w:p>
  </w:footnote>
  <w:footnote w:type="continuationSeparator" w:id="0">
    <w:p w:rsidR="006E0098" w:rsidRDefault="006E0098">
      <w:pPr>
        <w:rPr>
          <w:sz w:val="12"/>
        </w:rPr>
      </w:pPr>
      <w:r>
        <w:continuationSeparator/>
      </w:r>
    </w:p>
  </w:footnote>
  <w:footnote w:id="1">
    <w:p w:rsidR="004D1086" w:rsidRDefault="006E0098">
      <w:pPr>
        <w:pStyle w:val="FootnoteText"/>
        <w:rPr>
          <w:rFonts w:ascii="Times New Roman" w:hAnsi="Times New Roman" w:cs="Times New Roman"/>
          <w:vertAlign w:val="superscript"/>
          <w:lang w:val="ro-RO"/>
        </w:rPr>
      </w:pPr>
      <w:r>
        <w:rPr>
          <w:rStyle w:val="FootnoteCharacters"/>
        </w:rPr>
        <w:footnoteRef/>
      </w:r>
      <w:r>
        <w:rPr>
          <w:vertAlign w:val="superscript"/>
        </w:rPr>
        <w:t xml:space="preserve"> </w:t>
      </w:r>
      <w:hyperlink r:id="rId1">
        <w:r>
          <w:rPr>
            <w:rStyle w:val="Hyperlink"/>
            <w:rFonts w:ascii="Times New Roman" w:hAnsi="Times New Roman" w:cs="Times New Roman"/>
            <w:color w:val="auto"/>
            <w:vertAlign w:val="superscript"/>
          </w:rPr>
          <w:t>Healthy public fo</w:t>
        </w:r>
        <w:r>
          <w:rPr>
            <w:rStyle w:val="Hyperlink"/>
            <w:rFonts w:ascii="Times New Roman" w:hAnsi="Times New Roman" w:cs="Times New Roman"/>
            <w:color w:val="auto"/>
            <w:vertAlign w:val="superscript"/>
          </w:rPr>
          <w:t>od procurement and service policies (who.int)</w:t>
        </w:r>
      </w:hyperlink>
    </w:p>
  </w:footnote>
  <w:footnote w:id="2">
    <w:p w:rsidR="004D1086" w:rsidRDefault="006E0098">
      <w:pPr>
        <w:pStyle w:val="FootnoteText"/>
        <w:rPr>
          <w:rFonts w:ascii="Times New Roman" w:hAnsi="Times New Roman" w:cs="Times New Roman"/>
          <w:vertAlign w:val="superscript"/>
          <w:lang w:val="ro-RO"/>
        </w:rPr>
      </w:pPr>
      <w:r>
        <w:rPr>
          <w:rStyle w:val="FootnoteCharacters"/>
        </w:rPr>
        <w:footnoteRef/>
      </w:r>
      <w:r>
        <w:rPr>
          <w:rFonts w:ascii="Times New Roman" w:hAnsi="Times New Roman" w:cs="Times New Roman"/>
          <w:vertAlign w:val="superscript"/>
        </w:rPr>
        <w:t xml:space="preserve"> </w:t>
      </w:r>
      <w:hyperlink r:id="rId2">
        <w:r>
          <w:rPr>
            <w:rStyle w:val="Hyperlink"/>
            <w:rFonts w:ascii="Times New Roman" w:hAnsi="Times New Roman" w:cs="Times New Roman"/>
            <w:color w:val="auto"/>
            <w:vertAlign w:val="superscript"/>
          </w:rPr>
          <w:t>Healthy diet (who.int)</w:t>
        </w:r>
      </w:hyperlink>
    </w:p>
  </w:footnote>
  <w:footnote w:id="3">
    <w:p w:rsidR="004D1086" w:rsidRDefault="006E0098">
      <w:pPr>
        <w:pStyle w:val="FootnoteText"/>
        <w:rPr>
          <w:rFonts w:ascii="Times New Roman" w:hAnsi="Times New Roman" w:cs="Times New Roman"/>
          <w:vertAlign w:val="superscript"/>
          <w:lang w:val="ro-RO"/>
        </w:rPr>
      </w:pPr>
      <w:r>
        <w:rPr>
          <w:rStyle w:val="FootnoteCharacters"/>
        </w:rPr>
        <w:footnoteRef/>
      </w:r>
      <w:r>
        <w:rPr>
          <w:rFonts w:ascii="Times New Roman" w:hAnsi="Times New Roman" w:cs="Times New Roman"/>
          <w:vertAlign w:val="superscript"/>
        </w:rPr>
        <w:t xml:space="preserve"> </w:t>
      </w:r>
      <w:r>
        <w:rPr>
          <w:rFonts w:ascii="Times New Roman" w:hAnsi="Times New Roman" w:cs="Times New Roman"/>
          <w:color w:val="000000"/>
          <w:vertAlign w:val="superscript"/>
        </w:rPr>
        <w:t>Diet, nutrition and the prevention of chronic diseases: report of a Joint WHO/FAO Expert Consultation.</w:t>
      </w:r>
      <w:r>
        <w:rPr>
          <w:rFonts w:ascii="Times New Roman" w:hAnsi="Times New Roman" w:cs="Times New Roman"/>
          <w:color w:val="000000"/>
          <w:vertAlign w:val="superscript"/>
        </w:rPr>
        <w:t xml:space="preserve"> WHO Technical Report Series, No. 916. Geneva: World Health Organization; 2003.</w:t>
      </w:r>
    </w:p>
  </w:footnote>
  <w:footnote w:id="4">
    <w:p w:rsidR="004D1086" w:rsidRDefault="006E0098">
      <w:pPr>
        <w:pStyle w:val="FootnoteText"/>
        <w:rPr>
          <w:rFonts w:ascii="Times New Roman" w:hAnsi="Times New Roman" w:cs="Times New Roman"/>
          <w:color w:val="3C4245"/>
          <w:vertAlign w:val="superscript"/>
        </w:rPr>
      </w:pPr>
      <w:r>
        <w:rPr>
          <w:rStyle w:val="FootnoteCharacters"/>
        </w:rPr>
        <w:footnoteRef/>
      </w:r>
      <w:r>
        <w:rPr>
          <w:rFonts w:ascii="Times New Roman" w:hAnsi="Times New Roman" w:cs="Times New Roman"/>
          <w:vertAlign w:val="superscript"/>
        </w:rPr>
        <w:t xml:space="preserve"> </w:t>
      </w:r>
      <w:r>
        <w:rPr>
          <w:rFonts w:ascii="Times New Roman" w:hAnsi="Times New Roman" w:cs="Times New Roman"/>
          <w:color w:val="000000"/>
          <w:vertAlign w:val="superscript"/>
        </w:rPr>
        <w:t>Diet, nutrition and the prevention of chronic diseases: report of a Joint WHO/FAO Expert Consultation. WHO Technical Report Series, No. 916. Geneva: World Health Organization</w:t>
      </w:r>
      <w:r>
        <w:rPr>
          <w:rFonts w:ascii="Times New Roman" w:hAnsi="Times New Roman" w:cs="Times New Roman"/>
          <w:color w:val="000000"/>
          <w:vertAlign w:val="superscript"/>
        </w:rPr>
        <w:t>; 2003.</w:t>
      </w:r>
    </w:p>
    <w:p w:rsidR="004D1086" w:rsidRDefault="006E0098">
      <w:pPr>
        <w:pStyle w:val="FootnoteText"/>
        <w:rPr>
          <w:color w:val="000000"/>
        </w:rPr>
      </w:pPr>
      <w:r>
        <w:rPr>
          <w:rFonts w:ascii="Times New Roman" w:hAnsi="Times New Roman" w:cs="Times New Roman"/>
          <w:color w:val="000000"/>
          <w:vertAlign w:val="superscript"/>
        </w:rPr>
        <w:t>Guideline: Sugars intake for adults and children. Geneva: World Health Organization; 2015.</w:t>
      </w:r>
    </w:p>
  </w:footnote>
  <w:footnote w:id="5">
    <w:p w:rsidR="004D1086" w:rsidRDefault="006E0098">
      <w:pPr>
        <w:pStyle w:val="NormalWeb"/>
        <w:spacing w:before="280" w:beforeAutospacing="0" w:after="0" w:afterAutospacing="0"/>
        <w:rPr>
          <w:color w:val="000000"/>
        </w:rPr>
      </w:pPr>
      <w:r>
        <w:rPr>
          <w:rStyle w:val="FootnoteCharacters"/>
        </w:rPr>
        <w:footnoteRef/>
      </w:r>
      <w:r>
        <w:rPr>
          <w:color w:val="000000"/>
          <w:sz w:val="20"/>
          <w:szCs w:val="20"/>
          <w:vertAlign w:val="superscript"/>
        </w:rPr>
        <w:t xml:space="preserve"> </w:t>
      </w:r>
      <w:r>
        <w:rPr>
          <w:color w:val="000000"/>
          <w:sz w:val="20"/>
          <w:szCs w:val="20"/>
          <w:vertAlign w:val="superscript"/>
        </w:rPr>
        <w:t>Hooper L, Abdelhamid A, Bunn D, Brown T, Summerbell CD, Skeaff CM. Effects of total fat intake on body weight. Cochrane Database Syst Rev. 2015; (8):CD0118</w:t>
      </w:r>
      <w:r>
        <w:rPr>
          <w:color w:val="000000"/>
          <w:sz w:val="20"/>
          <w:szCs w:val="20"/>
          <w:vertAlign w:val="superscript"/>
        </w:rPr>
        <w:t>34.</w:t>
      </w:r>
    </w:p>
    <w:p w:rsidR="004D1086" w:rsidRDefault="006E0098">
      <w:pPr>
        <w:spacing w:after="0" w:line="240" w:lineRule="auto"/>
        <w:rPr>
          <w:color w:val="000000"/>
        </w:rPr>
      </w:pPr>
      <w:r>
        <w:rPr>
          <w:rFonts w:ascii="Times New Roman" w:eastAsia="Times New Roman" w:hAnsi="Times New Roman" w:cs="Times New Roman"/>
          <w:color w:val="000000"/>
          <w:sz w:val="20"/>
          <w:szCs w:val="20"/>
          <w:vertAlign w:val="superscript"/>
          <w:lang w:val="ro-RO" w:eastAsia="ro-RO"/>
        </w:rPr>
        <w:t>Diet, nutrition and the prevention of chronic diseases: report of a Joint WHO/FAO Expert Consultation. WHO Technical Report Series, No. 916. Geneva: World Health Organization; 2003.</w:t>
      </w:r>
    </w:p>
    <w:p w:rsidR="004D1086" w:rsidRDefault="006E0098">
      <w:pPr>
        <w:spacing w:after="0" w:line="240" w:lineRule="auto"/>
        <w:rPr>
          <w:color w:val="000000"/>
        </w:rPr>
      </w:pPr>
      <w:r>
        <w:rPr>
          <w:rFonts w:ascii="Times New Roman" w:eastAsia="Times New Roman" w:hAnsi="Times New Roman" w:cs="Times New Roman"/>
          <w:color w:val="000000"/>
          <w:sz w:val="20"/>
          <w:szCs w:val="20"/>
          <w:vertAlign w:val="superscript"/>
          <w:lang w:val="ro-RO" w:eastAsia="ro-RO"/>
        </w:rPr>
        <w:t>Fats and fatty acids in human nutrition: report of an expert consultat</w:t>
      </w:r>
      <w:r>
        <w:rPr>
          <w:rFonts w:ascii="Times New Roman" w:eastAsia="Times New Roman" w:hAnsi="Times New Roman" w:cs="Times New Roman"/>
          <w:color w:val="000000"/>
          <w:sz w:val="20"/>
          <w:szCs w:val="20"/>
          <w:vertAlign w:val="superscript"/>
          <w:lang w:val="ro-RO" w:eastAsia="ro-RO"/>
        </w:rPr>
        <w:t>ion. FAO Food and Nutrition Paper 91. Rome: Food and Agriculture Organization of the United Nations; 2010.</w:t>
      </w:r>
    </w:p>
  </w:footnote>
  <w:footnote w:id="6">
    <w:p w:rsidR="004D1086" w:rsidRDefault="006E0098">
      <w:pPr>
        <w:pStyle w:val="FootnoteText"/>
        <w:rPr>
          <w:rFonts w:ascii="Times New Roman" w:hAnsi="Times New Roman" w:cs="Times New Roman"/>
          <w:vertAlign w:val="superscript"/>
          <w:lang w:val="ro-RO"/>
        </w:rPr>
      </w:pPr>
      <w:r>
        <w:rPr>
          <w:rStyle w:val="FootnoteCharacters"/>
        </w:rPr>
        <w:footnoteRef/>
      </w:r>
      <w:r>
        <w:rPr>
          <w:rFonts w:ascii="Times New Roman" w:hAnsi="Times New Roman" w:cs="Times New Roman"/>
          <w:vertAlign w:val="superscript"/>
        </w:rPr>
        <w:t xml:space="preserve"> </w:t>
      </w:r>
      <w:r>
        <w:rPr>
          <w:rFonts w:ascii="Times New Roman" w:hAnsi="Times New Roman" w:cs="Times New Roman"/>
          <w:color w:val="000000"/>
          <w:vertAlign w:val="superscript"/>
        </w:rPr>
        <w:t xml:space="preserve">Nishida C, </w:t>
      </w:r>
      <w:proofErr w:type="spellStart"/>
      <w:r>
        <w:rPr>
          <w:rFonts w:ascii="Times New Roman" w:hAnsi="Times New Roman" w:cs="Times New Roman"/>
          <w:color w:val="000000"/>
          <w:vertAlign w:val="superscript"/>
        </w:rPr>
        <w:t>Uauy</w:t>
      </w:r>
      <w:proofErr w:type="spellEnd"/>
      <w:r>
        <w:rPr>
          <w:rFonts w:ascii="Times New Roman" w:hAnsi="Times New Roman" w:cs="Times New Roman"/>
          <w:color w:val="000000"/>
          <w:vertAlign w:val="superscript"/>
        </w:rPr>
        <w:t xml:space="preserve"> R. WHO scientific </w:t>
      </w:r>
      <w:proofErr w:type="gramStart"/>
      <w:r>
        <w:rPr>
          <w:rFonts w:ascii="Times New Roman" w:hAnsi="Times New Roman" w:cs="Times New Roman"/>
          <w:color w:val="000000"/>
          <w:vertAlign w:val="superscript"/>
        </w:rPr>
        <w:t>update</w:t>
      </w:r>
      <w:proofErr w:type="gramEnd"/>
      <w:r>
        <w:rPr>
          <w:rFonts w:ascii="Times New Roman" w:hAnsi="Times New Roman" w:cs="Times New Roman"/>
          <w:color w:val="000000"/>
          <w:vertAlign w:val="superscript"/>
        </w:rPr>
        <w:t xml:space="preserve"> on health consequences of trans fatty acids: introduction. </w:t>
      </w:r>
      <w:proofErr w:type="spellStart"/>
      <w:r>
        <w:rPr>
          <w:rFonts w:ascii="Times New Roman" w:hAnsi="Times New Roman" w:cs="Times New Roman"/>
          <w:color w:val="000000"/>
          <w:vertAlign w:val="superscript"/>
        </w:rPr>
        <w:t>Eur</w:t>
      </w:r>
      <w:proofErr w:type="spellEnd"/>
      <w:r>
        <w:rPr>
          <w:rFonts w:ascii="Times New Roman" w:hAnsi="Times New Roman" w:cs="Times New Roman"/>
          <w:color w:val="000000"/>
          <w:vertAlign w:val="superscript"/>
        </w:rPr>
        <w:t xml:space="preserve"> J </w:t>
      </w:r>
      <w:proofErr w:type="spellStart"/>
      <w:r>
        <w:rPr>
          <w:rFonts w:ascii="Times New Roman" w:hAnsi="Times New Roman" w:cs="Times New Roman"/>
          <w:color w:val="000000"/>
          <w:vertAlign w:val="superscript"/>
        </w:rPr>
        <w:t>Clin</w:t>
      </w:r>
      <w:proofErr w:type="spellEnd"/>
      <w:r>
        <w:rPr>
          <w:rFonts w:ascii="Times New Roman" w:hAnsi="Times New Roman" w:cs="Times New Roman"/>
          <w:color w:val="000000"/>
          <w:vertAlign w:val="superscript"/>
        </w:rPr>
        <w:t xml:space="preserve"> </w:t>
      </w:r>
      <w:proofErr w:type="spellStart"/>
      <w:r>
        <w:rPr>
          <w:rFonts w:ascii="Times New Roman" w:hAnsi="Times New Roman" w:cs="Times New Roman"/>
          <w:color w:val="000000"/>
          <w:vertAlign w:val="superscript"/>
        </w:rPr>
        <w:t>Nutr</w:t>
      </w:r>
      <w:proofErr w:type="spellEnd"/>
      <w:r>
        <w:rPr>
          <w:rFonts w:ascii="Times New Roman" w:hAnsi="Times New Roman" w:cs="Times New Roman"/>
          <w:color w:val="000000"/>
          <w:vertAlign w:val="superscript"/>
        </w:rPr>
        <w:t xml:space="preserve">. 2009; 63 </w:t>
      </w:r>
      <w:proofErr w:type="spellStart"/>
      <w:r>
        <w:rPr>
          <w:rFonts w:ascii="Times New Roman" w:hAnsi="Times New Roman" w:cs="Times New Roman"/>
          <w:color w:val="000000"/>
          <w:vertAlign w:val="superscript"/>
        </w:rPr>
        <w:t>Suppl</w:t>
      </w:r>
      <w:proofErr w:type="spellEnd"/>
      <w:r>
        <w:rPr>
          <w:rFonts w:ascii="Times New Roman" w:hAnsi="Times New Roman" w:cs="Times New Roman"/>
          <w:color w:val="000000"/>
          <w:vertAlign w:val="superscript"/>
        </w:rPr>
        <w:t xml:space="preserve"> 2:S1–4.</w:t>
      </w:r>
    </w:p>
  </w:footnote>
  <w:footnote w:id="7">
    <w:p w:rsidR="004D1086" w:rsidRDefault="006E0098">
      <w:pPr>
        <w:pStyle w:val="FootnoteText"/>
        <w:rPr>
          <w:color w:val="000000"/>
        </w:rPr>
      </w:pPr>
      <w:r>
        <w:rPr>
          <w:rStyle w:val="FootnoteCharacters"/>
        </w:rPr>
        <w:footnoteRef/>
      </w:r>
      <w:r>
        <w:rPr>
          <w:rFonts w:ascii="Times New Roman" w:hAnsi="Times New Roman" w:cs="Times New Roman"/>
          <w:color w:val="000000"/>
          <w:vertAlign w:val="superscript"/>
        </w:rPr>
        <w:t xml:space="preserve"> Guide</w:t>
      </w:r>
      <w:r>
        <w:rPr>
          <w:rFonts w:ascii="Times New Roman" w:hAnsi="Times New Roman" w:cs="Times New Roman"/>
          <w:color w:val="000000"/>
          <w:vertAlign w:val="superscript"/>
        </w:rPr>
        <w:t>line: Sodium intake for adults and children. Geneva: World Health Organization; 2012.</w:t>
      </w:r>
    </w:p>
  </w:footnote>
  <w:footnote w:id="8">
    <w:p w:rsidR="004D1086" w:rsidRDefault="006E0098">
      <w:pPr>
        <w:pStyle w:val="FootnoteText"/>
      </w:pPr>
      <w:r>
        <w:rPr>
          <w:rStyle w:val="FootnoteCharacters"/>
        </w:rPr>
        <w:footnoteRef/>
      </w:r>
      <w:r>
        <w:rPr>
          <w:rFonts w:ascii="Times New Roman" w:hAnsi="Times New Roman"/>
          <w:sz w:val="16"/>
          <w:szCs w:val="16"/>
        </w:rPr>
        <w:t xml:space="preserve"> </w:t>
      </w:r>
      <w:r>
        <w:rPr>
          <w:rFonts w:ascii="Times New Roman" w:hAnsi="Times New Roman"/>
          <w:sz w:val="12"/>
          <w:szCs w:val="12"/>
        </w:rPr>
        <w:t xml:space="preserve">Smoking, nutrition, alcohol, physical activity (SNAP): A population health guide to </w:t>
      </w:r>
      <w:proofErr w:type="spellStart"/>
      <w:r>
        <w:rPr>
          <w:rFonts w:ascii="Times New Roman" w:hAnsi="Times New Roman"/>
          <w:sz w:val="12"/>
          <w:szCs w:val="12"/>
        </w:rPr>
        <w:t>behavioural</w:t>
      </w:r>
      <w:proofErr w:type="spellEnd"/>
      <w:r>
        <w:rPr>
          <w:rFonts w:ascii="Times New Roman" w:hAnsi="Times New Roman"/>
          <w:sz w:val="12"/>
          <w:szCs w:val="12"/>
        </w:rPr>
        <w:t xml:space="preserve"> risk factors in general practice. 2nd ed. Melbourne: The Royal Australia</w:t>
      </w:r>
      <w:r>
        <w:rPr>
          <w:rFonts w:ascii="Times New Roman" w:hAnsi="Times New Roman"/>
          <w:sz w:val="12"/>
          <w:szCs w:val="12"/>
        </w:rPr>
        <w:t>n College of General Practitioners (2015)</w:t>
      </w:r>
    </w:p>
  </w:footnote>
  <w:footnote w:id="9">
    <w:p w:rsidR="004D1086" w:rsidRDefault="006E0098">
      <w:pPr>
        <w:pStyle w:val="FootnoteText"/>
      </w:pPr>
      <w:r>
        <w:rPr>
          <w:rStyle w:val="FootnoteCharacters"/>
        </w:rPr>
        <w:footnoteRef/>
      </w:r>
      <w:r>
        <w:rPr>
          <w:rFonts w:ascii="Times New Roman" w:hAnsi="Times New Roman"/>
          <w:sz w:val="16"/>
          <w:szCs w:val="16"/>
        </w:rPr>
        <w:t xml:space="preserve"> </w:t>
      </w:r>
      <w:proofErr w:type="gramStart"/>
      <w:r>
        <w:rPr>
          <w:rFonts w:ascii="Times New Roman" w:hAnsi="Times New Roman"/>
          <w:sz w:val="12"/>
          <w:szCs w:val="12"/>
        </w:rPr>
        <w:t>World Health Organization.</w:t>
      </w:r>
      <w:proofErr w:type="gramEnd"/>
      <w:r>
        <w:rPr>
          <w:rFonts w:ascii="Times New Roman" w:hAnsi="Times New Roman"/>
          <w:sz w:val="12"/>
          <w:szCs w:val="12"/>
        </w:rPr>
        <w:t xml:space="preserve"> </w:t>
      </w:r>
      <w:proofErr w:type="gramStart"/>
      <w:r>
        <w:rPr>
          <w:rFonts w:ascii="Times New Roman" w:hAnsi="Times New Roman"/>
          <w:sz w:val="12"/>
          <w:szCs w:val="12"/>
        </w:rPr>
        <w:t>Global recommendations on physical activity for health.</w:t>
      </w:r>
      <w:proofErr w:type="gramEnd"/>
      <w:r>
        <w:rPr>
          <w:rFonts w:ascii="Times New Roman" w:hAnsi="Times New Roman"/>
          <w:sz w:val="12"/>
          <w:szCs w:val="12"/>
        </w:rPr>
        <w:t xml:space="preserve"> (2010).</w:t>
      </w:r>
    </w:p>
  </w:footnote>
  <w:footnote w:id="10">
    <w:p w:rsidR="004D1086" w:rsidRDefault="006E0098">
      <w:pPr>
        <w:pStyle w:val="FootnoteText"/>
        <w:rPr>
          <w:sz w:val="16"/>
          <w:szCs w:val="16"/>
        </w:rPr>
      </w:pPr>
      <w:r>
        <w:rPr>
          <w:rStyle w:val="FootnoteCharacters"/>
        </w:rPr>
        <w:footnoteRef/>
      </w:r>
      <w:r>
        <w:rPr>
          <w:rFonts w:ascii="Times New Roman" w:hAnsi="Times New Roman"/>
          <w:sz w:val="16"/>
          <w:szCs w:val="16"/>
        </w:rPr>
        <w:t xml:space="preserve"> </w:t>
      </w:r>
      <w:proofErr w:type="spellStart"/>
      <w:r>
        <w:rPr>
          <w:rFonts w:ascii="Times New Roman" w:hAnsi="Times New Roman"/>
          <w:sz w:val="12"/>
          <w:szCs w:val="12"/>
        </w:rPr>
        <w:t>Mendis</w:t>
      </w:r>
      <w:proofErr w:type="spellEnd"/>
      <w:r>
        <w:rPr>
          <w:rFonts w:ascii="Times New Roman" w:hAnsi="Times New Roman"/>
          <w:sz w:val="12"/>
          <w:szCs w:val="12"/>
        </w:rPr>
        <w:t xml:space="preserve">, </w:t>
      </w:r>
      <w:proofErr w:type="spellStart"/>
      <w:r>
        <w:rPr>
          <w:rFonts w:ascii="Times New Roman" w:hAnsi="Times New Roman"/>
          <w:sz w:val="12"/>
          <w:szCs w:val="12"/>
        </w:rPr>
        <w:t>Shanthi</w:t>
      </w:r>
      <w:proofErr w:type="spellEnd"/>
      <w:r>
        <w:rPr>
          <w:rFonts w:ascii="Times New Roman" w:hAnsi="Times New Roman"/>
          <w:sz w:val="12"/>
          <w:szCs w:val="12"/>
        </w:rPr>
        <w:t xml:space="preserve">, et al. GLOBAL STATUS REPORT on </w:t>
      </w:r>
      <w:proofErr w:type="spellStart"/>
      <w:r>
        <w:rPr>
          <w:rFonts w:ascii="Times New Roman" w:hAnsi="Times New Roman"/>
          <w:sz w:val="12"/>
          <w:szCs w:val="12"/>
        </w:rPr>
        <w:t>noncommunicable</w:t>
      </w:r>
      <w:proofErr w:type="spellEnd"/>
      <w:r>
        <w:rPr>
          <w:rFonts w:ascii="Times New Roman" w:hAnsi="Times New Roman"/>
          <w:sz w:val="12"/>
          <w:szCs w:val="12"/>
        </w:rPr>
        <w:t xml:space="preserve"> diseases 2014. </w:t>
      </w:r>
      <w:proofErr w:type="gramStart"/>
      <w:r>
        <w:rPr>
          <w:rFonts w:ascii="Times New Roman" w:hAnsi="Times New Roman"/>
          <w:sz w:val="12"/>
          <w:szCs w:val="12"/>
        </w:rPr>
        <w:t>World Health Organization (2014).</w:t>
      </w:r>
      <w:proofErr w:type="gramEnd"/>
    </w:p>
  </w:footnote>
  <w:footnote w:id="11">
    <w:p w:rsidR="004D1086" w:rsidRDefault="006E0098">
      <w:pPr>
        <w:spacing w:after="0" w:line="240" w:lineRule="auto"/>
        <w:rPr>
          <w:rFonts w:ascii="Times New Roman" w:hAnsi="Times New Roman" w:cs="Times New Roman"/>
          <w:sz w:val="16"/>
          <w:szCs w:val="16"/>
          <w:lang w:val="ro-RO"/>
        </w:rPr>
      </w:pPr>
      <w:r>
        <w:rPr>
          <w:rStyle w:val="FootnoteCharacters"/>
        </w:rPr>
        <w:footnoteRef/>
      </w:r>
      <w:r>
        <w:rPr>
          <w:sz w:val="16"/>
          <w:szCs w:val="16"/>
        </w:rPr>
        <w:t xml:space="preserve"> </w:t>
      </w:r>
      <w:hyperlink r:id="rId3">
        <w:proofErr w:type="spellStart"/>
        <w:r>
          <w:rPr>
            <w:rStyle w:val="Hyperlink"/>
            <w:rFonts w:ascii="Times New Roman" w:hAnsi="Times New Roman" w:cs="Times New Roman"/>
            <w:color w:val="000000"/>
            <w:sz w:val="16"/>
            <w:szCs w:val="16"/>
            <w:u w:val="none"/>
            <w:shd w:val="clear" w:color="auto" w:fill="707070"/>
          </w:rPr>
          <w:t>P</w:t>
        </w:r>
        <w:r>
          <w:rPr>
            <w:rStyle w:val="Hyperlink"/>
            <w:rFonts w:ascii="Times New Roman" w:hAnsi="Times New Roman" w:cs="Times New Roman"/>
            <w:color w:val="auto"/>
            <w:sz w:val="16"/>
            <w:szCs w:val="16"/>
            <w:u w:val="none"/>
          </w:rPr>
          <w:t>ortalul</w:t>
        </w:r>
        <w:proofErr w:type="spellEnd"/>
        <w:r>
          <w:rPr>
            <w:rStyle w:val="Hyperlink"/>
            <w:rFonts w:ascii="Times New Roman" w:hAnsi="Times New Roman" w:cs="Times New Roman"/>
            <w:color w:val="auto"/>
            <w:sz w:val="16"/>
            <w:szCs w:val="16"/>
            <w:u w:val="none"/>
          </w:rPr>
          <w:t xml:space="preserve"> </w:t>
        </w:r>
        <w:proofErr w:type="spellStart"/>
        <w:r>
          <w:rPr>
            <w:rStyle w:val="Hyperlink"/>
            <w:rFonts w:ascii="Times New Roman" w:hAnsi="Times New Roman" w:cs="Times New Roman"/>
            <w:color w:val="auto"/>
            <w:sz w:val="16"/>
            <w:szCs w:val="16"/>
            <w:u w:val="none"/>
          </w:rPr>
          <w:t>cunoașterii</w:t>
        </w:r>
        <w:proofErr w:type="spellEnd"/>
        <w:r>
          <w:rPr>
            <w:rStyle w:val="Hyperlink"/>
            <w:rFonts w:ascii="Times New Roman" w:hAnsi="Times New Roman" w:cs="Times New Roman"/>
            <w:color w:val="auto"/>
            <w:sz w:val="16"/>
            <w:szCs w:val="16"/>
            <w:u w:val="none"/>
          </w:rPr>
          <w:t xml:space="preserve"> </w:t>
        </w:r>
        <w:proofErr w:type="spellStart"/>
        <w:r>
          <w:rPr>
            <w:rStyle w:val="Hyperlink"/>
            <w:rFonts w:ascii="Times New Roman" w:hAnsi="Times New Roman" w:cs="Times New Roman"/>
            <w:color w:val="auto"/>
            <w:sz w:val="16"/>
            <w:szCs w:val="16"/>
            <w:u w:val="none"/>
          </w:rPr>
          <w:t>pentru</w:t>
        </w:r>
        <w:proofErr w:type="spellEnd"/>
        <w:r>
          <w:rPr>
            <w:rStyle w:val="Hyperlink"/>
            <w:rFonts w:ascii="Times New Roman" w:hAnsi="Times New Roman" w:cs="Times New Roman"/>
            <w:color w:val="auto"/>
            <w:sz w:val="16"/>
            <w:szCs w:val="16"/>
            <w:u w:val="none"/>
          </w:rPr>
          <w:t xml:space="preserve"> </w:t>
        </w:r>
        <w:proofErr w:type="spellStart"/>
        <w:r>
          <w:rPr>
            <w:rStyle w:val="Hyperlink"/>
            <w:rFonts w:ascii="Times New Roman" w:hAnsi="Times New Roman" w:cs="Times New Roman"/>
            <w:color w:val="auto"/>
            <w:sz w:val="16"/>
            <w:szCs w:val="16"/>
            <w:u w:val="none"/>
          </w:rPr>
          <w:t>promovarea</w:t>
        </w:r>
        <w:proofErr w:type="spellEnd"/>
        <w:r>
          <w:rPr>
            <w:rStyle w:val="Hyperlink"/>
            <w:rFonts w:ascii="Times New Roman" w:hAnsi="Times New Roman" w:cs="Times New Roman"/>
            <w:color w:val="auto"/>
            <w:sz w:val="16"/>
            <w:szCs w:val="16"/>
            <w:u w:val="none"/>
          </w:rPr>
          <w:t xml:space="preserve"> </w:t>
        </w:r>
        <w:proofErr w:type="spellStart"/>
        <w:r>
          <w:rPr>
            <w:rStyle w:val="Hyperlink"/>
            <w:rFonts w:ascii="Times New Roman" w:hAnsi="Times New Roman" w:cs="Times New Roman"/>
            <w:color w:val="auto"/>
            <w:sz w:val="16"/>
            <w:szCs w:val="16"/>
            <w:u w:val="none"/>
          </w:rPr>
          <w:t>sănătății</w:t>
        </w:r>
        <w:proofErr w:type="spellEnd"/>
      </w:hyperlink>
    </w:p>
  </w:footnote>
  <w:footnote w:id="12">
    <w:p w:rsidR="004D1086" w:rsidRDefault="006E0098">
      <w:pPr>
        <w:ind w:firstLine="360"/>
        <w:jc w:val="both"/>
        <w:rPr>
          <w:rFonts w:ascii="Times New Roman" w:hAnsi="Times New Roman" w:cs="Times New Roman"/>
          <w:sz w:val="16"/>
          <w:szCs w:val="16"/>
        </w:rPr>
      </w:pPr>
      <w:r>
        <w:rPr>
          <w:rStyle w:val="FootnoteCharacters"/>
        </w:rPr>
        <w:footnoteRef/>
      </w:r>
      <w:r>
        <w:rPr>
          <w:rFonts w:ascii="Times New Roman" w:hAnsi="Times New Roman" w:cs="Times New Roman"/>
          <w:sz w:val="16"/>
          <w:szCs w:val="16"/>
        </w:rPr>
        <w:t xml:space="preserve"> </w:t>
      </w:r>
      <w:hyperlink r:id="rId4">
        <w:r>
          <w:rPr>
            <w:rStyle w:val="Hyperlink"/>
            <w:rFonts w:ascii="Times New Roman" w:hAnsi="Times New Roman" w:cs="Times New Roman"/>
            <w:sz w:val="16"/>
            <w:szCs w:val="16"/>
          </w:rPr>
          <w:t>Whole grain intake across European countries | Knowledge for policy (europa.eu)</w:t>
        </w:r>
      </w:hyperlink>
    </w:p>
    <w:p w:rsidR="004D1086" w:rsidRDefault="004D1086">
      <w:pPr>
        <w:pStyle w:val="FootnoteText"/>
        <w:rPr>
          <w:lang w:val="ro-RO"/>
        </w:rPr>
      </w:pPr>
    </w:p>
  </w:footnote>
  <w:footnote w:id="13">
    <w:p w:rsidR="004D1086" w:rsidRDefault="006E0098">
      <w:pPr>
        <w:pStyle w:val="FootnoteText"/>
        <w:rPr>
          <w:rFonts w:ascii="Times New Roman" w:hAnsi="Times New Roman" w:cs="Times New Roman"/>
          <w:sz w:val="16"/>
          <w:szCs w:val="16"/>
          <w:lang w:val="ro-RO"/>
        </w:rPr>
      </w:pPr>
      <w:r>
        <w:rPr>
          <w:rStyle w:val="FootnoteCharacters"/>
        </w:rPr>
        <w:footnoteRef/>
      </w:r>
      <w:r>
        <w:rPr>
          <w:rFonts w:ascii="Times New Roman" w:hAnsi="Times New Roman" w:cs="Times New Roman"/>
          <w:sz w:val="16"/>
          <w:szCs w:val="16"/>
          <w:lang w:val="ro-RO"/>
        </w:rPr>
        <w:t xml:space="preserve"> </w:t>
      </w:r>
      <w:r>
        <w:rPr>
          <w:rFonts w:ascii="Times New Roman" w:hAnsi="Times New Roman" w:cs="Times New Roman"/>
          <w:color w:val="404040"/>
          <w:sz w:val="16"/>
          <w:szCs w:val="16"/>
          <w:lang w:val="ro-RO"/>
        </w:rPr>
        <w:t>http://ghdx.healthdata.org/gbd-results-tool?params=gbd-api-2019-permalink/cee91784130a155bb6d50cf70ab9d25d</w:t>
      </w:r>
      <w:r>
        <w:rPr>
          <w:rFonts w:ascii="Times New Roman" w:hAnsi="Times New Roman" w:cs="Times New Roman"/>
          <w:color w:val="404040"/>
          <w:sz w:val="16"/>
          <w:szCs w:val="16"/>
          <w:lang w:val="ro-RO"/>
        </w:rPr>
        <w:br/>
      </w:r>
    </w:p>
  </w:footnote>
  <w:footnote w:id="14">
    <w:p w:rsidR="004D1086" w:rsidRDefault="006E0098">
      <w:pPr>
        <w:pStyle w:val="FootnoteText"/>
        <w:rPr>
          <w:sz w:val="16"/>
          <w:szCs w:val="16"/>
          <w:lang w:val="ro-RO"/>
        </w:rPr>
      </w:pPr>
      <w:r>
        <w:rPr>
          <w:rStyle w:val="FootnoteCharacters"/>
        </w:rPr>
        <w:footnoteRef/>
      </w:r>
      <w:r>
        <w:rPr>
          <w:lang w:val="ro-RO"/>
        </w:rPr>
        <w:t xml:space="preserve"> </w:t>
      </w:r>
      <w:r>
        <w:rPr>
          <w:rFonts w:ascii="Times New Roman" w:hAnsi="Times New Roman" w:cs="Times New Roman"/>
          <w:color w:val="404040"/>
          <w:sz w:val="16"/>
          <w:szCs w:val="16"/>
          <w:lang w:val="ro-RO"/>
        </w:rPr>
        <w:t>http://ghdx.healthdata.org/gbd-results-tool?params=gbd-a</w:t>
      </w:r>
      <w:r>
        <w:rPr>
          <w:rFonts w:ascii="Times New Roman" w:hAnsi="Times New Roman" w:cs="Times New Roman"/>
          <w:color w:val="404040"/>
          <w:sz w:val="16"/>
          <w:szCs w:val="16"/>
          <w:lang w:val="ro-RO"/>
        </w:rPr>
        <w:t>pi-2019-permalink/cee91784130a155bb6d50cf70ab9d25d</w:t>
      </w:r>
      <w:r>
        <w:rPr>
          <w:rFonts w:ascii="Times New Roman" w:hAnsi="Times New Roman" w:cs="Times New Roman"/>
          <w:color w:val="404040"/>
          <w:sz w:val="16"/>
          <w:szCs w:val="16"/>
          <w:lang w:val="ro-RO"/>
        </w:rPr>
        <w:br/>
      </w:r>
    </w:p>
  </w:footnote>
  <w:footnote w:id="15">
    <w:p w:rsidR="004D1086" w:rsidRDefault="006E0098">
      <w:pPr>
        <w:ind w:firstLine="360"/>
        <w:jc w:val="both"/>
        <w:rPr>
          <w:rFonts w:ascii="Times New Roman" w:hAnsi="Times New Roman" w:cs="Times New Roman"/>
          <w:color w:val="454545"/>
          <w:sz w:val="16"/>
          <w:szCs w:val="16"/>
          <w:shd w:val="clear" w:color="auto" w:fill="FFFFFF"/>
          <w:lang w:val="ro-RO"/>
        </w:rPr>
      </w:pPr>
      <w:r>
        <w:rPr>
          <w:rStyle w:val="FootnoteCharacters"/>
        </w:rPr>
        <w:footnoteRef/>
      </w:r>
      <w:r>
        <w:rPr>
          <w:lang w:val="ro-RO"/>
        </w:rPr>
        <w:t xml:space="preserve"> </w:t>
      </w:r>
      <w:hyperlink r:id="rId5">
        <w:r>
          <w:rPr>
            <w:rStyle w:val="Hyperlink"/>
            <w:rFonts w:ascii="Times New Roman" w:hAnsi="Times New Roman" w:cs="Times New Roman"/>
            <w:sz w:val="16"/>
            <w:szCs w:val="16"/>
            <w:shd w:val="clear" w:color="auto" w:fill="FFFFFF"/>
            <w:lang w:val="ro-RO"/>
          </w:rPr>
          <w:t>https://vizhub.healthdata.org/gbd-results?params=gbd-api-2019-permalink/da8a0ca714d31b899dbe74342b927fab</w:t>
        </w:r>
      </w:hyperlink>
    </w:p>
    <w:p w:rsidR="004D1086" w:rsidRDefault="006E0098">
      <w:pPr>
        <w:ind w:firstLine="360"/>
        <w:jc w:val="both"/>
        <w:rPr>
          <w:rFonts w:ascii="Times New Roman" w:hAnsi="Times New Roman" w:cs="Times New Roman"/>
          <w:color w:val="454545"/>
          <w:sz w:val="16"/>
          <w:szCs w:val="16"/>
          <w:shd w:val="clear" w:color="auto" w:fill="FFFFFF"/>
          <w:lang w:val="ro-RO"/>
        </w:rPr>
      </w:pPr>
      <w:hyperlink r:id="rId6">
        <w:r>
          <w:rPr>
            <w:rStyle w:val="Hyperlink"/>
            <w:rFonts w:ascii="Times New Roman" w:hAnsi="Times New Roman" w:cs="Times New Roman"/>
            <w:sz w:val="16"/>
            <w:szCs w:val="16"/>
            <w:shd w:val="clear" w:color="auto" w:fill="FFFFFF"/>
            <w:lang w:val="ro-RO"/>
          </w:rPr>
          <w:t>https://vizhub.healthdata.o</w:t>
        </w:r>
        <w:r>
          <w:rPr>
            <w:rStyle w:val="Hyperlink"/>
            <w:rFonts w:ascii="Times New Roman" w:hAnsi="Times New Roman" w:cs="Times New Roman"/>
            <w:sz w:val="16"/>
            <w:szCs w:val="16"/>
            <w:shd w:val="clear" w:color="auto" w:fill="FFFFFF"/>
            <w:lang w:val="ro-RO"/>
          </w:rPr>
          <w:t>rg/gbd-results?params=gbd-api-2019-permalink/b3683c4e6699bb68f2914a333985240a</w:t>
        </w:r>
      </w:hyperlink>
    </w:p>
    <w:p w:rsidR="004D1086" w:rsidRDefault="004D1086">
      <w:pPr>
        <w:ind w:firstLine="360"/>
        <w:jc w:val="both"/>
        <w:rPr>
          <w:rFonts w:ascii="Times New Roman" w:hAnsi="Times New Roman" w:cs="Times New Roman"/>
          <w:lang w:val="ro-RO"/>
        </w:rPr>
      </w:pPr>
    </w:p>
    <w:p w:rsidR="004D1086" w:rsidRDefault="004D1086">
      <w:pPr>
        <w:pStyle w:val="FootnoteText"/>
        <w:rPr>
          <w:lang w:val="ro-RO"/>
        </w:rPr>
      </w:pPr>
    </w:p>
  </w:footnote>
  <w:footnote w:id="16">
    <w:p w:rsidR="004D1086" w:rsidRDefault="006E0098">
      <w:pPr>
        <w:pStyle w:val="FootnoteText"/>
        <w:rPr>
          <w:rFonts w:ascii="Times New Roman" w:hAnsi="Times New Roman" w:cs="Times New Roman"/>
          <w:sz w:val="16"/>
          <w:szCs w:val="16"/>
          <w:lang w:val="ro-RO"/>
        </w:rPr>
      </w:pPr>
      <w:r>
        <w:rPr>
          <w:rStyle w:val="FootnoteCharacters"/>
        </w:rPr>
        <w:footnoteRef/>
      </w:r>
      <w:r>
        <w:rPr>
          <w:rFonts w:ascii="Times New Roman" w:hAnsi="Times New Roman" w:cs="Times New Roman"/>
          <w:sz w:val="16"/>
          <w:szCs w:val="16"/>
          <w:lang w:val="ro-RO"/>
        </w:rPr>
        <w:t xml:space="preserve"> </w:t>
      </w:r>
      <w:r>
        <w:rPr>
          <w:rFonts w:ascii="Times New Roman" w:hAnsi="Times New Roman" w:cs="Times New Roman"/>
          <w:sz w:val="16"/>
          <w:szCs w:val="16"/>
          <w:lang w:val="ro-RO"/>
        </w:rPr>
        <w:t>https://www.hsph.harvard.edu/nutritionsource/what-should-you-eat/whole-grains/</w:t>
      </w:r>
    </w:p>
  </w:footnote>
  <w:footnote w:id="17">
    <w:p w:rsidR="004D1086" w:rsidRDefault="006E0098">
      <w:pPr>
        <w:pStyle w:val="FootnoteText"/>
        <w:rPr>
          <w:rFonts w:ascii="Times New Roman" w:hAnsi="Times New Roman" w:cs="Times New Roman"/>
          <w:sz w:val="16"/>
          <w:szCs w:val="16"/>
          <w:lang w:val="ro-RO"/>
        </w:rPr>
      </w:pPr>
      <w:r>
        <w:rPr>
          <w:rStyle w:val="FootnoteCharacters"/>
        </w:rPr>
        <w:footnoteRef/>
      </w:r>
      <w:r>
        <w:t xml:space="preserve"> </w:t>
      </w:r>
      <w:proofErr w:type="gramStart"/>
      <w:r>
        <w:rPr>
          <w:rFonts w:ascii="Times New Roman" w:hAnsi="Times New Roman" w:cs="Times New Roman"/>
          <w:color w:val="484C58"/>
          <w:sz w:val="16"/>
          <w:szCs w:val="16"/>
          <w:shd w:val="clear" w:color="auto" w:fill="FFFFFF"/>
        </w:rPr>
        <w:t xml:space="preserve">Wu H, Flint AJ, Qi Q </w:t>
      </w:r>
      <w:proofErr w:type="spellStart"/>
      <w:r>
        <w:rPr>
          <w:rFonts w:ascii="Times New Roman" w:hAnsi="Times New Roman" w:cs="Times New Roman"/>
          <w:color w:val="484C58"/>
          <w:sz w:val="16"/>
          <w:szCs w:val="16"/>
          <w:shd w:val="clear" w:color="auto" w:fill="FFFFFF"/>
        </w:rPr>
        <w:t>și</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colab</w:t>
      </w:r>
      <w:proofErr w:type="spellEnd"/>
      <w:r>
        <w:rPr>
          <w:rFonts w:ascii="Times New Roman" w:hAnsi="Times New Roman" w:cs="Times New Roman"/>
          <w:color w:val="484C58"/>
          <w:sz w:val="16"/>
          <w:szCs w:val="16"/>
          <w:shd w:val="clear" w:color="auto" w:fill="FFFFFF"/>
        </w:rPr>
        <w:t>.</w:t>
      </w:r>
      <w:proofErr w:type="gramEnd"/>
      <w:r>
        <w:rPr>
          <w:rFonts w:ascii="Times New Roman" w:hAnsi="Times New Roman" w:cs="Times New Roman"/>
          <w:color w:val="484C58"/>
          <w:sz w:val="16"/>
          <w:szCs w:val="16"/>
          <w:shd w:val="clear" w:color="auto" w:fill="FFFFFF"/>
        </w:rPr>
        <w:t> </w:t>
      </w:r>
      <w:proofErr w:type="spellStart"/>
      <w:r>
        <w:rPr>
          <w:rFonts w:ascii="Times New Roman" w:hAnsi="Times New Roman" w:cs="Times New Roman"/>
          <w:color w:val="484C58"/>
          <w:sz w:val="16"/>
          <w:szCs w:val="16"/>
          <w:shd w:val="clear" w:color="auto" w:fill="FFFFFF"/>
        </w:rPr>
        <w:t>Asocierea</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dintre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aportul</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alimentar</w:t>
      </w:r>
      <w:proofErr w:type="spellEnd"/>
      <w:r>
        <w:rPr>
          <w:rFonts w:ascii="Times New Roman" w:hAnsi="Times New Roman" w:cs="Times New Roman"/>
          <w:color w:val="484C58"/>
          <w:sz w:val="16"/>
          <w:szCs w:val="16"/>
          <w:shd w:val="clear" w:color="auto" w:fill="FFFFFF"/>
        </w:rPr>
        <w:t xml:space="preserve"> de </w:t>
      </w:r>
      <w:proofErr w:type="spellStart"/>
      <w:r>
        <w:rPr>
          <w:rFonts w:ascii="Times New Roman" w:hAnsi="Times New Roman" w:cs="Times New Roman"/>
          <w:color w:val="484C58"/>
          <w:sz w:val="16"/>
          <w:szCs w:val="16"/>
          <w:shd w:val="clear" w:color="auto" w:fill="FFFFFF"/>
        </w:rPr>
        <w:t>cereale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integrale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și</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riscul</w:t>
      </w:r>
      <w:proofErr w:type="spellEnd"/>
      <w:r>
        <w:rPr>
          <w:rFonts w:ascii="Times New Roman" w:hAnsi="Times New Roman" w:cs="Times New Roman"/>
          <w:color w:val="484C58"/>
          <w:sz w:val="16"/>
          <w:szCs w:val="16"/>
          <w:shd w:val="clear" w:color="auto" w:fill="FFFFFF"/>
        </w:rPr>
        <w:t xml:space="preserve"> de </w:t>
      </w:r>
      <w:proofErr w:type="spellStart"/>
      <w:r>
        <w:rPr>
          <w:rFonts w:ascii="Times New Roman" w:hAnsi="Times New Roman" w:cs="Times New Roman"/>
          <w:color w:val="484C58"/>
          <w:sz w:val="16"/>
          <w:szCs w:val="16"/>
          <w:shd w:val="clear" w:color="auto" w:fill="FFFFFF"/>
        </w:rPr>
        <w:t>mortalitate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două</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studii</w:t>
      </w:r>
      <w:proofErr w:type="spellEnd"/>
      <w:r>
        <w:rPr>
          <w:rFonts w:ascii="Times New Roman" w:hAnsi="Times New Roman" w:cs="Times New Roman"/>
          <w:color w:val="484C58"/>
          <w:sz w:val="16"/>
          <w:szCs w:val="16"/>
          <w:shd w:val="clear" w:color="auto" w:fill="FFFFFF"/>
        </w:rPr>
        <w:t xml:space="preserve"> prospective </w:t>
      </w:r>
      <w:proofErr w:type="spellStart"/>
      <w:proofErr w:type="gramStart"/>
      <w:r>
        <w:rPr>
          <w:rFonts w:ascii="Times New Roman" w:hAnsi="Times New Roman" w:cs="Times New Roman"/>
          <w:color w:val="484C58"/>
          <w:sz w:val="16"/>
          <w:szCs w:val="16"/>
          <w:shd w:val="clear" w:color="auto" w:fill="FFFFFF"/>
        </w:rPr>
        <w:t>mari</w:t>
      </w:r>
      <w:proofErr w:type="spellEnd"/>
      <w:proofErr w:type="gramEnd"/>
      <w:r>
        <w:rPr>
          <w:rFonts w:ascii="Times New Roman" w:hAnsi="Times New Roman" w:cs="Times New Roman"/>
          <w:color w:val="484C58"/>
          <w:sz w:val="16"/>
          <w:szCs w:val="16"/>
          <w:shd w:val="clear" w:color="auto" w:fill="FFFFFF"/>
        </w:rPr>
        <w:t xml:space="preserve"> la </w:t>
      </w:r>
      <w:proofErr w:type="spellStart"/>
      <w:r>
        <w:rPr>
          <w:rFonts w:ascii="Times New Roman" w:hAnsi="Times New Roman" w:cs="Times New Roman"/>
          <w:color w:val="484C58"/>
          <w:sz w:val="16"/>
          <w:szCs w:val="16"/>
          <w:shd w:val="clear" w:color="auto" w:fill="FFFFFF"/>
        </w:rPr>
        <w:t>bărbați</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și</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femei</w:t>
      </w:r>
      <w:proofErr w:type="spellEnd"/>
      <w:r>
        <w:rPr>
          <w:rFonts w:ascii="Times New Roman" w:hAnsi="Times New Roman" w:cs="Times New Roman"/>
          <w:color w:val="484C58"/>
          <w:sz w:val="16"/>
          <w:szCs w:val="16"/>
          <w:shd w:val="clear" w:color="auto" w:fill="FFFFFF"/>
        </w:rPr>
        <w:t xml:space="preserve"> din SUA. </w:t>
      </w:r>
      <w:hyperlink r:id="rId7" w:tgtFrame="_blank">
        <w:proofErr w:type="gramStart"/>
        <w:r>
          <w:rPr>
            <w:rStyle w:val="Emphasis"/>
            <w:rFonts w:ascii="Times New Roman" w:hAnsi="Times New Roman" w:cs="Times New Roman"/>
            <w:color w:val="007EAD"/>
            <w:sz w:val="16"/>
            <w:szCs w:val="16"/>
            <w:shd w:val="clear" w:color="auto" w:fill="FFFFFF"/>
          </w:rPr>
          <w:t>JAMA Intern Med</w:t>
        </w:r>
      </w:hyperlink>
      <w:r>
        <w:rPr>
          <w:rFonts w:ascii="Times New Roman" w:hAnsi="Times New Roman" w:cs="Times New Roman"/>
          <w:color w:val="484C58"/>
          <w:sz w:val="16"/>
          <w:szCs w:val="16"/>
          <w:shd w:val="clear" w:color="auto" w:fill="FFFFFF"/>
        </w:rPr>
        <w:t> .</w:t>
      </w:r>
      <w:proofErr w:type="gramEnd"/>
      <w:r>
        <w:rPr>
          <w:rFonts w:ascii="Times New Roman" w:hAnsi="Times New Roman" w:cs="Times New Roman"/>
          <w:color w:val="484C58"/>
          <w:sz w:val="16"/>
          <w:szCs w:val="16"/>
          <w:shd w:val="clear" w:color="auto" w:fill="FFFFFF"/>
        </w:rPr>
        <w:t> 2015;175:373-84</w:t>
      </w:r>
    </w:p>
  </w:footnote>
  <w:footnote w:id="18">
    <w:p w:rsidR="004D1086" w:rsidRDefault="006E0098">
      <w:pPr>
        <w:pStyle w:val="FootnoteText"/>
        <w:rPr>
          <w:rFonts w:ascii="Times New Roman" w:hAnsi="Times New Roman" w:cs="Times New Roman"/>
          <w:sz w:val="16"/>
          <w:szCs w:val="16"/>
          <w:lang w:val="ro-RO"/>
        </w:rPr>
      </w:pPr>
      <w:r>
        <w:rPr>
          <w:rStyle w:val="FootnoteCharacters"/>
        </w:rPr>
        <w:footnoteRef/>
      </w:r>
      <w:r>
        <w:t xml:space="preserve"> </w:t>
      </w:r>
      <w:r>
        <w:rPr>
          <w:rFonts w:ascii="Times New Roman" w:hAnsi="Times New Roman" w:cs="Times New Roman"/>
          <w:sz w:val="16"/>
          <w:szCs w:val="16"/>
        </w:rPr>
        <w:t>J</w:t>
      </w:r>
      <w:r>
        <w:rPr>
          <w:rFonts w:ascii="Times New Roman" w:hAnsi="Times New Roman" w:cs="Times New Roman"/>
          <w:color w:val="484C58"/>
          <w:sz w:val="16"/>
          <w:szCs w:val="16"/>
          <w:shd w:val="clear" w:color="auto" w:fill="FFFFFF"/>
        </w:rPr>
        <w:t xml:space="preserve">acobs DR, Jr., Andersen LF, </w:t>
      </w:r>
      <w:proofErr w:type="spellStart"/>
      <w:r>
        <w:rPr>
          <w:rFonts w:ascii="Times New Roman" w:hAnsi="Times New Roman" w:cs="Times New Roman"/>
          <w:color w:val="484C58"/>
          <w:sz w:val="16"/>
          <w:szCs w:val="16"/>
          <w:shd w:val="clear" w:color="auto" w:fill="FFFFFF"/>
        </w:rPr>
        <w:t>Blomhoff</w:t>
      </w:r>
      <w:proofErr w:type="spellEnd"/>
      <w:r>
        <w:rPr>
          <w:rFonts w:ascii="Times New Roman" w:hAnsi="Times New Roman" w:cs="Times New Roman"/>
          <w:color w:val="484C58"/>
          <w:sz w:val="16"/>
          <w:szCs w:val="16"/>
          <w:shd w:val="clear" w:color="auto" w:fill="FFFFFF"/>
        </w:rPr>
        <w:t xml:space="preserve"> R. </w:t>
      </w:r>
      <w:proofErr w:type="spellStart"/>
      <w:r>
        <w:rPr>
          <w:rFonts w:ascii="Times New Roman" w:hAnsi="Times New Roman" w:cs="Times New Roman"/>
          <w:color w:val="484C58"/>
          <w:sz w:val="16"/>
          <w:szCs w:val="16"/>
          <w:shd w:val="clear" w:color="auto" w:fill="FFFFFF"/>
        </w:rPr>
        <w:t>Consumul</w:t>
      </w:r>
      <w:proofErr w:type="spellEnd"/>
      <w:r>
        <w:rPr>
          <w:rFonts w:ascii="Times New Roman" w:hAnsi="Times New Roman" w:cs="Times New Roman"/>
          <w:color w:val="484C58"/>
          <w:sz w:val="16"/>
          <w:szCs w:val="16"/>
          <w:shd w:val="clear" w:color="auto" w:fill="FFFFFF"/>
        </w:rPr>
        <w:t xml:space="preserve"> de </w:t>
      </w:r>
      <w:proofErr w:type="spellStart"/>
      <w:r>
        <w:rPr>
          <w:rFonts w:ascii="Times New Roman" w:hAnsi="Times New Roman" w:cs="Times New Roman"/>
          <w:color w:val="484C58"/>
          <w:sz w:val="16"/>
          <w:szCs w:val="16"/>
          <w:shd w:val="clear" w:color="auto" w:fill="FFFFFF"/>
        </w:rPr>
        <w:t>cereale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int</w:t>
      </w:r>
      <w:r>
        <w:rPr>
          <w:rFonts w:ascii="Times New Roman" w:hAnsi="Times New Roman" w:cs="Times New Roman"/>
          <w:color w:val="484C58"/>
          <w:sz w:val="16"/>
          <w:szCs w:val="16"/>
          <w:shd w:val="clear" w:color="auto" w:fill="FFFFFF"/>
        </w:rPr>
        <w:t>egrale</w:t>
      </w:r>
      <w:proofErr w:type="spellEnd"/>
      <w:r>
        <w:rPr>
          <w:rFonts w:ascii="Times New Roman" w:hAnsi="Times New Roman" w:cs="Times New Roman"/>
          <w:color w:val="484C58"/>
          <w:sz w:val="16"/>
          <w:szCs w:val="16"/>
          <w:shd w:val="clear" w:color="auto" w:fill="FFFFFF"/>
        </w:rPr>
        <w:t xml:space="preserve"> </w:t>
      </w:r>
      <w:proofErr w:type="spellStart"/>
      <w:proofErr w:type="gramStart"/>
      <w:r>
        <w:rPr>
          <w:rFonts w:ascii="Times New Roman" w:hAnsi="Times New Roman" w:cs="Times New Roman"/>
          <w:color w:val="484C58"/>
          <w:sz w:val="16"/>
          <w:szCs w:val="16"/>
          <w:shd w:val="clear" w:color="auto" w:fill="FFFFFF"/>
        </w:rPr>
        <w:t>este</w:t>
      </w:r>
      <w:proofErr w:type="spellEnd"/>
      <w:proofErr w:type="gram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asociat</w:t>
      </w:r>
      <w:proofErr w:type="spellEnd"/>
      <w:r>
        <w:rPr>
          <w:rFonts w:ascii="Times New Roman" w:hAnsi="Times New Roman" w:cs="Times New Roman"/>
          <w:color w:val="484C58"/>
          <w:sz w:val="16"/>
          <w:szCs w:val="16"/>
          <w:shd w:val="clear" w:color="auto" w:fill="FFFFFF"/>
        </w:rPr>
        <w:t xml:space="preserve"> cu un </w:t>
      </w:r>
      <w:proofErr w:type="spellStart"/>
      <w:r>
        <w:rPr>
          <w:rFonts w:ascii="Times New Roman" w:hAnsi="Times New Roman" w:cs="Times New Roman"/>
          <w:color w:val="484C58"/>
          <w:sz w:val="16"/>
          <w:szCs w:val="16"/>
          <w:shd w:val="clear" w:color="auto" w:fill="FFFFFF"/>
        </w:rPr>
        <w:t>risc</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redus</w:t>
      </w:r>
      <w:proofErr w:type="spellEnd"/>
      <w:r>
        <w:rPr>
          <w:rFonts w:ascii="Times New Roman" w:hAnsi="Times New Roman" w:cs="Times New Roman"/>
          <w:color w:val="484C58"/>
          <w:sz w:val="16"/>
          <w:szCs w:val="16"/>
          <w:shd w:val="clear" w:color="auto" w:fill="FFFFFF"/>
        </w:rPr>
        <w:t xml:space="preserve"> de </w:t>
      </w:r>
      <w:proofErr w:type="spellStart"/>
      <w:r>
        <w:rPr>
          <w:rFonts w:ascii="Times New Roman" w:hAnsi="Times New Roman" w:cs="Times New Roman"/>
          <w:color w:val="484C58"/>
          <w:sz w:val="16"/>
          <w:szCs w:val="16"/>
          <w:shd w:val="clear" w:color="auto" w:fill="FFFFFF"/>
        </w:rPr>
        <w:t>deces</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noncardiovascular</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noncancer</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atribuit</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bolilor</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inflamatorii</w:t>
      </w:r>
      <w:proofErr w:type="spellEnd"/>
      <w:r>
        <w:rPr>
          <w:rFonts w:ascii="Times New Roman" w:hAnsi="Times New Roman" w:cs="Times New Roman"/>
          <w:color w:val="484C58"/>
          <w:sz w:val="16"/>
          <w:szCs w:val="16"/>
          <w:shd w:val="clear" w:color="auto" w:fill="FFFFFF"/>
        </w:rPr>
        <w:t xml:space="preserve"> in Iowa Women's Health Study. </w:t>
      </w:r>
      <w:hyperlink r:id="rId8" w:tgtFrame="_blank">
        <w:proofErr w:type="gramStart"/>
        <w:r>
          <w:rPr>
            <w:rStyle w:val="Emphasis"/>
            <w:rFonts w:ascii="Times New Roman" w:hAnsi="Times New Roman" w:cs="Times New Roman"/>
            <w:color w:val="007EAD"/>
            <w:sz w:val="16"/>
            <w:szCs w:val="16"/>
            <w:shd w:val="clear" w:color="auto" w:fill="FFFFFF"/>
          </w:rPr>
          <w:t xml:space="preserve">Am J </w:t>
        </w:r>
        <w:proofErr w:type="spellStart"/>
        <w:r>
          <w:rPr>
            <w:rStyle w:val="Emphasis"/>
            <w:rFonts w:ascii="Times New Roman" w:hAnsi="Times New Roman" w:cs="Times New Roman"/>
            <w:color w:val="007EAD"/>
            <w:sz w:val="16"/>
            <w:szCs w:val="16"/>
            <w:shd w:val="clear" w:color="auto" w:fill="FFFFFF"/>
          </w:rPr>
          <w:t>Clin</w:t>
        </w:r>
        <w:proofErr w:type="spellEnd"/>
        <w:r>
          <w:rPr>
            <w:rStyle w:val="Emphasis"/>
            <w:rFonts w:ascii="Times New Roman" w:hAnsi="Times New Roman" w:cs="Times New Roman"/>
            <w:color w:val="007EAD"/>
            <w:sz w:val="16"/>
            <w:szCs w:val="16"/>
            <w:shd w:val="clear" w:color="auto" w:fill="FFFFFF"/>
          </w:rPr>
          <w:t xml:space="preserve"> </w:t>
        </w:r>
        <w:proofErr w:type="spellStart"/>
        <w:r>
          <w:rPr>
            <w:rStyle w:val="Emphasis"/>
            <w:rFonts w:ascii="Times New Roman" w:hAnsi="Times New Roman" w:cs="Times New Roman"/>
            <w:color w:val="007EAD"/>
            <w:sz w:val="16"/>
            <w:szCs w:val="16"/>
            <w:shd w:val="clear" w:color="auto" w:fill="FFFFFF"/>
          </w:rPr>
          <w:t>Nutr</w:t>
        </w:r>
        <w:proofErr w:type="spellEnd"/>
      </w:hyperlink>
      <w:r>
        <w:rPr>
          <w:rFonts w:ascii="Times New Roman" w:hAnsi="Times New Roman" w:cs="Times New Roman"/>
          <w:color w:val="484C58"/>
          <w:sz w:val="16"/>
          <w:szCs w:val="16"/>
          <w:shd w:val="clear" w:color="auto" w:fill="FFFFFF"/>
        </w:rPr>
        <w:t> .</w:t>
      </w:r>
      <w:proofErr w:type="gramEnd"/>
      <w:r>
        <w:rPr>
          <w:rFonts w:ascii="Times New Roman" w:hAnsi="Times New Roman" w:cs="Times New Roman"/>
          <w:color w:val="484C58"/>
          <w:sz w:val="16"/>
          <w:szCs w:val="16"/>
          <w:shd w:val="clear" w:color="auto" w:fill="FFFFFF"/>
        </w:rPr>
        <w:t> 2007</w:t>
      </w:r>
      <w:proofErr w:type="gramStart"/>
      <w:r>
        <w:rPr>
          <w:rFonts w:ascii="Times New Roman" w:hAnsi="Times New Roman" w:cs="Times New Roman"/>
          <w:color w:val="484C58"/>
          <w:sz w:val="16"/>
          <w:szCs w:val="16"/>
          <w:shd w:val="clear" w:color="auto" w:fill="FFFFFF"/>
        </w:rPr>
        <w:t>;85:1606</w:t>
      </w:r>
      <w:proofErr w:type="gramEnd"/>
      <w:r>
        <w:rPr>
          <w:rFonts w:ascii="Times New Roman" w:hAnsi="Times New Roman" w:cs="Times New Roman"/>
          <w:color w:val="484C58"/>
          <w:sz w:val="16"/>
          <w:szCs w:val="16"/>
          <w:shd w:val="clear" w:color="auto" w:fill="FFFFFF"/>
        </w:rPr>
        <w:t>-14.</w:t>
      </w:r>
    </w:p>
  </w:footnote>
  <w:footnote w:id="19">
    <w:p w:rsidR="004D1086" w:rsidRDefault="006E0098">
      <w:pPr>
        <w:shd w:val="clear" w:color="auto" w:fill="FFFFFF"/>
        <w:spacing w:after="0" w:line="240" w:lineRule="auto"/>
        <w:rPr>
          <w:rFonts w:ascii="Times New Roman" w:eastAsia="Times New Roman" w:hAnsi="Times New Roman" w:cs="Times New Roman"/>
          <w:color w:val="484C58"/>
          <w:sz w:val="16"/>
          <w:szCs w:val="16"/>
          <w:lang w:val="ro-RO" w:eastAsia="ro-RO"/>
        </w:rPr>
      </w:pPr>
      <w:r>
        <w:rPr>
          <w:rStyle w:val="FootnoteCharacters"/>
        </w:rPr>
        <w:footnoteRef/>
      </w:r>
      <w:r>
        <w:rPr>
          <w:rFonts w:ascii="Times New Roman" w:hAnsi="Times New Roman" w:cs="Times New Roman"/>
          <w:sz w:val="16"/>
          <w:szCs w:val="16"/>
        </w:rPr>
        <w:t xml:space="preserve"> </w:t>
      </w:r>
      <w:r>
        <w:rPr>
          <w:rFonts w:ascii="Times New Roman" w:eastAsia="Times New Roman" w:hAnsi="Times New Roman" w:cs="Times New Roman"/>
          <w:color w:val="484C58"/>
          <w:sz w:val="16"/>
          <w:szCs w:val="16"/>
          <w:lang w:val="ro-RO" w:eastAsia="ro-RO"/>
        </w:rPr>
        <w:t xml:space="preserve">Zong G, </w:t>
      </w:r>
      <w:r>
        <w:rPr>
          <w:rFonts w:ascii="Times New Roman" w:eastAsia="Times New Roman" w:hAnsi="Times New Roman" w:cs="Times New Roman"/>
          <w:color w:val="484C58"/>
          <w:sz w:val="16"/>
          <w:szCs w:val="16"/>
          <w:lang w:val="ro-RO" w:eastAsia="ro-RO"/>
        </w:rPr>
        <w:t>Gao A, Hu FB, Sun Q. Aportul de cereale integrale și mortalitatea din toate cauzele, bolile cardiovasculare și cancerul: o meta-analiză a studiilor prospective de cohortă. </w:t>
      </w:r>
      <w:r>
        <w:fldChar w:fldCharType="begin"/>
      </w:r>
      <w:r>
        <w:instrText xml:space="preserve"> HYPERLINK "http://www.ncbi.nlm.nih.gov/pubmed/27297341" \t "_blank" \h </w:instrText>
      </w:r>
      <w:r>
        <w:fldChar w:fldCharType="separate"/>
      </w:r>
      <w:r>
        <w:rPr>
          <w:rFonts w:ascii="Times New Roman" w:eastAsia="Times New Roman" w:hAnsi="Times New Roman" w:cs="Times New Roman"/>
          <w:i/>
          <w:iCs/>
          <w:color w:val="007EAD"/>
          <w:sz w:val="16"/>
          <w:szCs w:val="16"/>
          <w:lang w:val="ro-RO" w:eastAsia="ro-RO"/>
        </w:rPr>
        <w:t>Circulați</w:t>
      </w:r>
      <w:r>
        <w:rPr>
          <w:rFonts w:ascii="Times New Roman" w:eastAsia="Times New Roman" w:hAnsi="Times New Roman" w:cs="Times New Roman"/>
          <w:i/>
          <w:iCs/>
          <w:color w:val="007EAD"/>
          <w:sz w:val="16"/>
          <w:szCs w:val="16"/>
          <w:lang w:val="ro-RO" w:eastAsia="ro-RO"/>
        </w:rPr>
        <w:t>a</w:t>
      </w:r>
      <w:r>
        <w:rPr>
          <w:rFonts w:ascii="Times New Roman" w:eastAsia="Times New Roman" w:hAnsi="Times New Roman" w:cs="Times New Roman"/>
          <w:i/>
          <w:iCs/>
          <w:color w:val="007EAD"/>
          <w:sz w:val="16"/>
          <w:szCs w:val="16"/>
          <w:lang w:val="ro-RO" w:eastAsia="ro-RO"/>
        </w:rPr>
        <w:fldChar w:fldCharType="end"/>
      </w:r>
      <w:r>
        <w:rPr>
          <w:rFonts w:ascii="Times New Roman" w:eastAsia="Times New Roman" w:hAnsi="Times New Roman" w:cs="Times New Roman"/>
          <w:color w:val="484C58"/>
          <w:sz w:val="16"/>
          <w:szCs w:val="16"/>
          <w:lang w:val="ro-RO" w:eastAsia="ro-RO"/>
        </w:rPr>
        <w:t> . 2016;133:2370-80.</w:t>
      </w:r>
    </w:p>
    <w:p w:rsidR="004D1086" w:rsidRDefault="004D1086">
      <w:pPr>
        <w:pStyle w:val="FootnoteText"/>
        <w:rPr>
          <w:lang w:val="ro-RO"/>
        </w:rPr>
      </w:pPr>
    </w:p>
  </w:footnote>
  <w:footnote w:id="20">
    <w:p w:rsidR="004D1086" w:rsidRDefault="006E0098">
      <w:pPr>
        <w:shd w:val="clear" w:color="auto" w:fill="FFFFFF"/>
        <w:spacing w:after="0" w:line="240" w:lineRule="auto"/>
        <w:rPr>
          <w:lang w:val="ro-RO"/>
        </w:rPr>
      </w:pPr>
      <w:r>
        <w:rPr>
          <w:rStyle w:val="FootnoteCharacters"/>
        </w:rPr>
        <w:footnoteRef/>
      </w:r>
      <w:r>
        <w:rPr>
          <w:rFonts w:ascii="Times New Roman" w:hAnsi="Times New Roman" w:cs="Times New Roman"/>
          <w:sz w:val="16"/>
          <w:szCs w:val="16"/>
        </w:rPr>
        <w:t xml:space="preserve"> </w:t>
      </w:r>
      <w:r>
        <w:rPr>
          <w:rFonts w:ascii="Times New Roman" w:eastAsia="Times New Roman" w:hAnsi="Times New Roman" w:cs="Times New Roman"/>
          <w:color w:val="484C58"/>
          <w:sz w:val="16"/>
          <w:szCs w:val="16"/>
          <w:lang w:val="ro-RO" w:eastAsia="ro-RO"/>
        </w:rPr>
        <w:t xml:space="preserve">Liu S, Stampfer MJ, Hu FB și colab. Consumul de cereale integrale și riscul de boală coronariană: rezultate din Studiul de sănătate a asistentelor. </w:t>
      </w:r>
      <w:r>
        <w:fldChar w:fldCharType="begin"/>
      </w:r>
      <w:r>
        <w:instrText xml:space="preserve"> HYPERLINK "http://www.ncbi.nlm.nih.gov/pubmed/10479204" \t "_blank" \h </w:instrText>
      </w:r>
      <w:r>
        <w:fldChar w:fldCharType="separate"/>
      </w:r>
      <w:r>
        <w:rPr>
          <w:rFonts w:ascii="Times New Roman" w:eastAsia="Times New Roman" w:hAnsi="Times New Roman" w:cs="Times New Roman"/>
          <w:i/>
          <w:iCs/>
          <w:color w:val="007EAD"/>
          <w:sz w:val="16"/>
          <w:szCs w:val="16"/>
          <w:lang w:val="ro-RO" w:eastAsia="ro-RO"/>
        </w:rPr>
        <w:t>Am J Cli</w:t>
      </w:r>
      <w:r>
        <w:rPr>
          <w:rFonts w:ascii="Times New Roman" w:eastAsia="Times New Roman" w:hAnsi="Times New Roman" w:cs="Times New Roman"/>
          <w:i/>
          <w:iCs/>
          <w:color w:val="007EAD"/>
          <w:sz w:val="16"/>
          <w:szCs w:val="16"/>
          <w:lang w:val="ro-RO" w:eastAsia="ro-RO"/>
        </w:rPr>
        <w:t>n Nutr</w:t>
      </w:r>
      <w:r>
        <w:rPr>
          <w:rFonts w:ascii="Times New Roman" w:eastAsia="Times New Roman" w:hAnsi="Times New Roman" w:cs="Times New Roman"/>
          <w:i/>
          <w:iCs/>
          <w:color w:val="007EAD"/>
          <w:sz w:val="16"/>
          <w:szCs w:val="16"/>
          <w:lang w:val="ro-RO" w:eastAsia="ro-RO"/>
        </w:rPr>
        <w:fldChar w:fldCharType="end"/>
      </w:r>
      <w:r>
        <w:rPr>
          <w:rFonts w:ascii="Times New Roman" w:eastAsia="Times New Roman" w:hAnsi="Times New Roman" w:cs="Times New Roman"/>
          <w:i/>
          <w:iCs/>
          <w:color w:val="007EAD"/>
          <w:sz w:val="16"/>
          <w:szCs w:val="16"/>
          <w:lang w:val="ro-RO" w:eastAsia="ro-RO"/>
        </w:rPr>
        <w:t xml:space="preserve"> </w:t>
      </w:r>
      <w:r>
        <w:rPr>
          <w:rFonts w:ascii="Times New Roman" w:eastAsia="Times New Roman" w:hAnsi="Times New Roman" w:cs="Times New Roman"/>
          <w:color w:val="484C58"/>
          <w:sz w:val="16"/>
          <w:szCs w:val="16"/>
          <w:lang w:val="ro-RO" w:eastAsia="ro-RO"/>
        </w:rPr>
        <w:t>.1999;70:412-9.</w:t>
      </w:r>
    </w:p>
  </w:footnote>
  <w:footnote w:id="21">
    <w:p w:rsidR="004D1086" w:rsidRDefault="006E0098">
      <w:pPr>
        <w:shd w:val="clear" w:color="auto" w:fill="FFFFFF"/>
        <w:spacing w:after="0" w:line="240" w:lineRule="auto"/>
        <w:rPr>
          <w:lang w:val="ro-RO"/>
        </w:rPr>
      </w:pPr>
      <w:r>
        <w:rPr>
          <w:rStyle w:val="FootnoteCharacters"/>
        </w:rPr>
        <w:footnoteRef/>
      </w:r>
      <w:r>
        <w:rPr>
          <w:lang w:val="de-DE"/>
        </w:rPr>
        <w:t xml:space="preserve"> </w:t>
      </w:r>
      <w:r>
        <w:rPr>
          <w:rFonts w:ascii="Times New Roman" w:eastAsia="Times New Roman" w:hAnsi="Times New Roman" w:cs="Times New Roman"/>
          <w:color w:val="484C58"/>
          <w:sz w:val="16"/>
          <w:szCs w:val="16"/>
          <w:lang w:val="ro-RO" w:eastAsia="ro-RO"/>
        </w:rPr>
        <w:t xml:space="preserve">Mellen PB, Walsh TF, Herrington DM. Aportul de cereale integrale și bolile cardiovasculare: o meta-analiză. </w:t>
      </w:r>
      <w:r>
        <w:fldChar w:fldCharType="begin"/>
      </w:r>
      <w:r>
        <w:instrText xml:space="preserve"> HYPERLINK "http://www.ncbi.nlm.nih.gov/pubmed/17449231" \t "_blank" \h </w:instrText>
      </w:r>
      <w:r>
        <w:fldChar w:fldCharType="separate"/>
      </w:r>
      <w:r>
        <w:rPr>
          <w:rFonts w:ascii="Times New Roman" w:eastAsia="Times New Roman" w:hAnsi="Times New Roman" w:cs="Times New Roman"/>
          <w:i/>
          <w:iCs/>
          <w:color w:val="007EAD"/>
          <w:sz w:val="16"/>
          <w:szCs w:val="16"/>
          <w:lang w:val="ro-RO" w:eastAsia="ro-RO"/>
        </w:rPr>
        <w:t>Nutr Metab Cardiovasc Dis</w:t>
      </w:r>
      <w:r>
        <w:rPr>
          <w:rFonts w:ascii="Times New Roman" w:eastAsia="Times New Roman" w:hAnsi="Times New Roman" w:cs="Times New Roman"/>
          <w:i/>
          <w:iCs/>
          <w:color w:val="007EAD"/>
          <w:sz w:val="16"/>
          <w:szCs w:val="16"/>
          <w:lang w:val="ro-RO" w:eastAsia="ro-RO"/>
        </w:rPr>
        <w:fldChar w:fldCharType="end"/>
      </w:r>
      <w:r>
        <w:rPr>
          <w:rFonts w:ascii="Times New Roman" w:eastAsia="Times New Roman" w:hAnsi="Times New Roman" w:cs="Times New Roman"/>
          <w:color w:val="484C58"/>
          <w:sz w:val="16"/>
          <w:szCs w:val="16"/>
          <w:lang w:val="ro-RO" w:eastAsia="ro-RO"/>
        </w:rPr>
        <w:t>.2008;18:283-90.</w:t>
      </w:r>
    </w:p>
  </w:footnote>
  <w:footnote w:id="22">
    <w:p w:rsidR="004D1086" w:rsidRDefault="006E0098">
      <w:pPr>
        <w:pStyle w:val="FootnoteText"/>
        <w:rPr>
          <w:rFonts w:ascii="Times New Roman" w:hAnsi="Times New Roman" w:cs="Times New Roman"/>
          <w:sz w:val="16"/>
          <w:szCs w:val="16"/>
          <w:lang w:val="ro-RO"/>
        </w:rPr>
      </w:pPr>
      <w:r>
        <w:rPr>
          <w:rStyle w:val="FootnoteCharacters"/>
        </w:rPr>
        <w:footnoteRef/>
      </w:r>
      <w:r>
        <w:rPr>
          <w:lang w:val="de-DE"/>
        </w:rPr>
        <w:t xml:space="preserve"> </w:t>
      </w:r>
      <w:r>
        <w:rPr>
          <w:rFonts w:ascii="Times New Roman" w:hAnsi="Times New Roman" w:cs="Times New Roman"/>
          <w:color w:val="484C58"/>
          <w:sz w:val="16"/>
          <w:szCs w:val="16"/>
          <w:shd w:val="clear" w:color="auto" w:fill="FFFFFF"/>
          <w:lang w:val="de-DE"/>
        </w:rPr>
        <w:t>Aune</w:t>
      </w:r>
      <w:r>
        <w:rPr>
          <w:rFonts w:ascii="Times New Roman" w:hAnsi="Times New Roman" w:cs="Times New Roman"/>
          <w:color w:val="484C58"/>
          <w:sz w:val="16"/>
          <w:szCs w:val="16"/>
          <w:shd w:val="clear" w:color="auto" w:fill="FFFFFF"/>
          <w:lang w:val="de-DE"/>
        </w:rPr>
        <w:t xml:space="preserve"> D, Norat T, Romundstad P, Vatten LJ. </w:t>
      </w:r>
      <w:proofErr w:type="spellStart"/>
      <w:r>
        <w:rPr>
          <w:rFonts w:ascii="Times New Roman" w:hAnsi="Times New Roman" w:cs="Times New Roman"/>
          <w:color w:val="484C58"/>
          <w:sz w:val="16"/>
          <w:szCs w:val="16"/>
          <w:shd w:val="clear" w:color="auto" w:fill="FFFFFF"/>
        </w:rPr>
        <w:t>Consumul</w:t>
      </w:r>
      <w:proofErr w:type="spellEnd"/>
      <w:r>
        <w:rPr>
          <w:rFonts w:ascii="Times New Roman" w:hAnsi="Times New Roman" w:cs="Times New Roman"/>
          <w:color w:val="484C58"/>
          <w:sz w:val="16"/>
          <w:szCs w:val="16"/>
          <w:shd w:val="clear" w:color="auto" w:fill="FFFFFF"/>
        </w:rPr>
        <w:t xml:space="preserve"> de </w:t>
      </w:r>
      <w:proofErr w:type="spellStart"/>
      <w:r>
        <w:rPr>
          <w:rFonts w:ascii="Times New Roman" w:hAnsi="Times New Roman" w:cs="Times New Roman"/>
          <w:color w:val="484C58"/>
          <w:sz w:val="16"/>
          <w:szCs w:val="16"/>
          <w:shd w:val="clear" w:color="auto" w:fill="FFFFFF"/>
        </w:rPr>
        <w:t>cereale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integrale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și</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cereale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rafinate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și</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riscul</w:t>
      </w:r>
      <w:proofErr w:type="spellEnd"/>
      <w:r>
        <w:rPr>
          <w:rFonts w:ascii="Times New Roman" w:hAnsi="Times New Roman" w:cs="Times New Roman"/>
          <w:color w:val="484C58"/>
          <w:sz w:val="16"/>
          <w:szCs w:val="16"/>
          <w:shd w:val="clear" w:color="auto" w:fill="FFFFFF"/>
        </w:rPr>
        <w:t xml:space="preserve"> de </w:t>
      </w:r>
      <w:proofErr w:type="spellStart"/>
      <w:r>
        <w:rPr>
          <w:rFonts w:ascii="Times New Roman" w:hAnsi="Times New Roman" w:cs="Times New Roman"/>
          <w:color w:val="484C58"/>
          <w:sz w:val="16"/>
          <w:szCs w:val="16"/>
          <w:shd w:val="clear" w:color="auto" w:fill="FFFFFF"/>
        </w:rPr>
        <w:t>diabet</w:t>
      </w:r>
      <w:proofErr w:type="spellEnd"/>
      <w:r>
        <w:rPr>
          <w:rFonts w:ascii="Times New Roman" w:hAnsi="Times New Roman" w:cs="Times New Roman"/>
          <w:color w:val="484C58"/>
          <w:sz w:val="16"/>
          <w:szCs w:val="16"/>
          <w:shd w:val="clear" w:color="auto" w:fill="FFFFFF"/>
        </w:rPr>
        <w:t xml:space="preserve"> de tip 2: o </w:t>
      </w:r>
      <w:proofErr w:type="spellStart"/>
      <w:r>
        <w:rPr>
          <w:rFonts w:ascii="Times New Roman" w:hAnsi="Times New Roman" w:cs="Times New Roman"/>
          <w:color w:val="484C58"/>
          <w:sz w:val="16"/>
          <w:szCs w:val="16"/>
          <w:shd w:val="clear" w:color="auto" w:fill="FFFFFF"/>
        </w:rPr>
        <w:t>revizuire</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sistematică</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și</w:t>
      </w:r>
      <w:proofErr w:type="spellEnd"/>
      <w:r>
        <w:rPr>
          <w:rFonts w:ascii="Times New Roman" w:hAnsi="Times New Roman" w:cs="Times New Roman"/>
          <w:color w:val="484C58"/>
          <w:sz w:val="16"/>
          <w:szCs w:val="16"/>
          <w:shd w:val="clear" w:color="auto" w:fill="FFFFFF"/>
        </w:rPr>
        <w:t xml:space="preserve"> o meta-</w:t>
      </w:r>
      <w:proofErr w:type="spellStart"/>
      <w:r>
        <w:rPr>
          <w:rFonts w:ascii="Times New Roman" w:hAnsi="Times New Roman" w:cs="Times New Roman"/>
          <w:color w:val="484C58"/>
          <w:sz w:val="16"/>
          <w:szCs w:val="16"/>
          <w:shd w:val="clear" w:color="auto" w:fill="FFFFFF"/>
        </w:rPr>
        <w:t>analiză</w:t>
      </w:r>
      <w:proofErr w:type="spellEnd"/>
      <w:r>
        <w:rPr>
          <w:rFonts w:ascii="Times New Roman" w:hAnsi="Times New Roman" w:cs="Times New Roman"/>
          <w:color w:val="484C58"/>
          <w:sz w:val="16"/>
          <w:szCs w:val="16"/>
          <w:shd w:val="clear" w:color="auto" w:fill="FFFFFF"/>
        </w:rPr>
        <w:t xml:space="preserve"> </w:t>
      </w:r>
      <w:proofErr w:type="spellStart"/>
      <w:r>
        <w:rPr>
          <w:rFonts w:ascii="Times New Roman" w:hAnsi="Times New Roman" w:cs="Times New Roman"/>
          <w:color w:val="484C58"/>
          <w:sz w:val="16"/>
          <w:szCs w:val="16"/>
          <w:shd w:val="clear" w:color="auto" w:fill="FFFFFF"/>
        </w:rPr>
        <w:t>doză-răspuns</w:t>
      </w:r>
      <w:proofErr w:type="spellEnd"/>
      <w:r>
        <w:rPr>
          <w:rFonts w:ascii="Times New Roman" w:hAnsi="Times New Roman" w:cs="Times New Roman"/>
          <w:color w:val="484C58"/>
          <w:sz w:val="16"/>
          <w:szCs w:val="16"/>
          <w:shd w:val="clear" w:color="auto" w:fill="FFFFFF"/>
        </w:rPr>
        <w:t xml:space="preserve"> a </w:t>
      </w:r>
      <w:proofErr w:type="spellStart"/>
      <w:r>
        <w:rPr>
          <w:rFonts w:ascii="Times New Roman" w:hAnsi="Times New Roman" w:cs="Times New Roman"/>
          <w:color w:val="484C58"/>
          <w:sz w:val="16"/>
          <w:szCs w:val="16"/>
          <w:shd w:val="clear" w:color="auto" w:fill="FFFFFF"/>
        </w:rPr>
        <w:t>studiilor</w:t>
      </w:r>
      <w:proofErr w:type="spellEnd"/>
      <w:r>
        <w:rPr>
          <w:rFonts w:ascii="Times New Roman" w:hAnsi="Times New Roman" w:cs="Times New Roman"/>
          <w:color w:val="484C58"/>
          <w:sz w:val="16"/>
          <w:szCs w:val="16"/>
          <w:shd w:val="clear" w:color="auto" w:fill="FFFFFF"/>
        </w:rPr>
        <w:t xml:space="preserve"> de </w:t>
      </w:r>
      <w:proofErr w:type="spellStart"/>
      <w:r>
        <w:rPr>
          <w:rFonts w:ascii="Times New Roman" w:hAnsi="Times New Roman" w:cs="Times New Roman"/>
          <w:color w:val="484C58"/>
          <w:sz w:val="16"/>
          <w:szCs w:val="16"/>
          <w:shd w:val="clear" w:color="auto" w:fill="FFFFFF"/>
        </w:rPr>
        <w:t>cohortă</w:t>
      </w:r>
      <w:proofErr w:type="spellEnd"/>
      <w:r>
        <w:rPr>
          <w:rFonts w:ascii="Times New Roman" w:hAnsi="Times New Roman" w:cs="Times New Roman"/>
          <w:color w:val="484C58"/>
          <w:sz w:val="16"/>
          <w:szCs w:val="16"/>
          <w:shd w:val="clear" w:color="auto" w:fill="FFFFFF"/>
        </w:rPr>
        <w:t>. </w:t>
      </w:r>
      <w:proofErr w:type="spellStart"/>
      <w:r>
        <w:fldChar w:fldCharType="begin"/>
      </w:r>
      <w:r>
        <w:instrText xml:space="preserve"> HYPERLINK "http://www.ncbi.nlm.nih.gov/pubmed/24158434" \t "_blank" \h </w:instrText>
      </w:r>
      <w:r>
        <w:fldChar w:fldCharType="separate"/>
      </w:r>
      <w:r>
        <w:rPr>
          <w:rStyle w:val="Emphasis"/>
          <w:rFonts w:ascii="Times New Roman" w:hAnsi="Times New Roman" w:cs="Times New Roman"/>
          <w:color w:val="007EAD"/>
          <w:sz w:val="16"/>
          <w:szCs w:val="16"/>
          <w:shd w:val="clear" w:color="auto" w:fill="FFFFFF"/>
        </w:rPr>
        <w:t>Eur</w:t>
      </w:r>
      <w:proofErr w:type="spellEnd"/>
      <w:r>
        <w:rPr>
          <w:rStyle w:val="Emphasis"/>
          <w:rFonts w:ascii="Times New Roman" w:hAnsi="Times New Roman" w:cs="Times New Roman"/>
          <w:color w:val="007EAD"/>
          <w:sz w:val="16"/>
          <w:szCs w:val="16"/>
          <w:shd w:val="clear" w:color="auto" w:fill="FFFFFF"/>
        </w:rPr>
        <w:t xml:space="preserve"> J </w:t>
      </w:r>
      <w:proofErr w:type="spellStart"/>
      <w:r>
        <w:rPr>
          <w:rStyle w:val="Emphasis"/>
          <w:rFonts w:ascii="Times New Roman" w:hAnsi="Times New Roman" w:cs="Times New Roman"/>
          <w:color w:val="007EAD"/>
          <w:sz w:val="16"/>
          <w:szCs w:val="16"/>
          <w:shd w:val="clear" w:color="auto" w:fill="FFFFFF"/>
        </w:rPr>
        <w:t>Epidemiol</w:t>
      </w:r>
      <w:proofErr w:type="spellEnd"/>
      <w:r>
        <w:rPr>
          <w:rStyle w:val="Emphasis"/>
          <w:rFonts w:ascii="Times New Roman" w:hAnsi="Times New Roman" w:cs="Times New Roman"/>
          <w:color w:val="007EAD"/>
          <w:sz w:val="16"/>
          <w:szCs w:val="16"/>
          <w:shd w:val="clear" w:color="auto" w:fill="FFFFFF"/>
        </w:rPr>
        <w:fldChar w:fldCharType="end"/>
      </w:r>
      <w:r>
        <w:rPr>
          <w:rFonts w:ascii="Times New Roman" w:hAnsi="Times New Roman" w:cs="Times New Roman"/>
          <w:color w:val="484C58"/>
          <w:sz w:val="16"/>
          <w:szCs w:val="16"/>
          <w:shd w:val="clear" w:color="auto" w:fill="FFFFFF"/>
        </w:rPr>
        <w:t> . 2013;28:845-58</w:t>
      </w:r>
    </w:p>
  </w:footnote>
  <w:footnote w:id="23">
    <w:p w:rsidR="004D1086" w:rsidRDefault="006E0098">
      <w:pPr>
        <w:shd w:val="clear" w:color="auto" w:fill="FFFFFF"/>
        <w:spacing w:after="0" w:line="240" w:lineRule="auto"/>
        <w:rPr>
          <w:rFonts w:ascii="Times New Roman" w:hAnsi="Times New Roman" w:cs="Times New Roman"/>
          <w:color w:val="484C58"/>
          <w:sz w:val="16"/>
          <w:szCs w:val="16"/>
        </w:rPr>
      </w:pPr>
      <w:r>
        <w:rPr>
          <w:rStyle w:val="FootnoteCharacters"/>
        </w:rPr>
        <w:footnoteRef/>
      </w:r>
      <w:r>
        <w:rPr>
          <w:rFonts w:ascii="Times New Roman" w:hAnsi="Times New Roman" w:cs="Times New Roman"/>
          <w:sz w:val="16"/>
          <w:szCs w:val="16"/>
        </w:rPr>
        <w:t xml:space="preserve"> </w:t>
      </w:r>
      <w:proofErr w:type="spellStart"/>
      <w:r>
        <w:rPr>
          <w:rFonts w:ascii="Times New Roman" w:hAnsi="Times New Roman" w:cs="Times New Roman"/>
          <w:color w:val="484C58"/>
          <w:sz w:val="16"/>
          <w:szCs w:val="16"/>
        </w:rPr>
        <w:t>Aune</w:t>
      </w:r>
      <w:proofErr w:type="spellEnd"/>
      <w:r>
        <w:rPr>
          <w:rFonts w:ascii="Times New Roman" w:hAnsi="Times New Roman" w:cs="Times New Roman"/>
          <w:color w:val="484C58"/>
          <w:sz w:val="16"/>
          <w:szCs w:val="16"/>
        </w:rPr>
        <w:t xml:space="preserve"> D, </w:t>
      </w:r>
      <w:proofErr w:type="spellStart"/>
      <w:r>
        <w:rPr>
          <w:rFonts w:ascii="Times New Roman" w:hAnsi="Times New Roman" w:cs="Times New Roman"/>
          <w:color w:val="484C58"/>
          <w:sz w:val="16"/>
          <w:szCs w:val="16"/>
        </w:rPr>
        <w:t>Keum</w:t>
      </w:r>
      <w:proofErr w:type="spellEnd"/>
      <w:r>
        <w:rPr>
          <w:rFonts w:ascii="Times New Roman" w:hAnsi="Times New Roman" w:cs="Times New Roman"/>
          <w:color w:val="484C58"/>
          <w:sz w:val="16"/>
          <w:szCs w:val="16"/>
        </w:rPr>
        <w:t xml:space="preserve"> N, </w:t>
      </w:r>
      <w:proofErr w:type="spellStart"/>
      <w:r>
        <w:rPr>
          <w:rFonts w:ascii="Times New Roman" w:hAnsi="Times New Roman" w:cs="Times New Roman"/>
          <w:color w:val="484C58"/>
          <w:sz w:val="16"/>
          <w:szCs w:val="16"/>
        </w:rPr>
        <w:t>Giovannucci</w:t>
      </w:r>
      <w:proofErr w:type="spellEnd"/>
      <w:r>
        <w:rPr>
          <w:rFonts w:ascii="Times New Roman" w:hAnsi="Times New Roman" w:cs="Times New Roman"/>
          <w:color w:val="484C58"/>
          <w:sz w:val="16"/>
          <w:szCs w:val="16"/>
        </w:rPr>
        <w:t xml:space="preserve"> E, et </w:t>
      </w:r>
      <w:proofErr w:type="spellStart"/>
      <w:r>
        <w:rPr>
          <w:rFonts w:ascii="Times New Roman" w:hAnsi="Times New Roman" w:cs="Times New Roman"/>
          <w:color w:val="484C58"/>
          <w:sz w:val="16"/>
          <w:szCs w:val="16"/>
        </w:rPr>
        <w:t>al.Consumul</w:t>
      </w:r>
      <w:proofErr w:type="spellEnd"/>
      <w:r>
        <w:rPr>
          <w:rFonts w:ascii="Times New Roman" w:hAnsi="Times New Roman" w:cs="Times New Roman"/>
          <w:color w:val="484C58"/>
          <w:sz w:val="16"/>
          <w:szCs w:val="16"/>
        </w:rPr>
        <w:t xml:space="preserve"> de </w:t>
      </w:r>
      <w:proofErr w:type="spellStart"/>
      <w:r>
        <w:rPr>
          <w:rFonts w:ascii="Times New Roman" w:hAnsi="Times New Roman" w:cs="Times New Roman"/>
          <w:color w:val="484C58"/>
          <w:sz w:val="16"/>
          <w:szCs w:val="16"/>
        </w:rPr>
        <w:t>cereale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integrale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și</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riscul</w:t>
      </w:r>
      <w:proofErr w:type="spellEnd"/>
      <w:r>
        <w:rPr>
          <w:rFonts w:ascii="Times New Roman" w:hAnsi="Times New Roman" w:cs="Times New Roman"/>
          <w:color w:val="484C58"/>
          <w:sz w:val="16"/>
          <w:szCs w:val="16"/>
        </w:rPr>
        <w:t xml:space="preserve"> de </w:t>
      </w:r>
      <w:proofErr w:type="spellStart"/>
      <w:r>
        <w:rPr>
          <w:rFonts w:ascii="Times New Roman" w:hAnsi="Times New Roman" w:cs="Times New Roman"/>
          <w:color w:val="484C58"/>
          <w:sz w:val="16"/>
          <w:szCs w:val="16"/>
        </w:rPr>
        <w:t>boli</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cardiovasculare</w:t>
      </w:r>
      <w:proofErr w:type="spellEnd"/>
      <w:r>
        <w:rPr>
          <w:rFonts w:ascii="Times New Roman" w:hAnsi="Times New Roman" w:cs="Times New Roman"/>
          <w:color w:val="484C58"/>
          <w:sz w:val="16"/>
          <w:szCs w:val="16"/>
        </w:rPr>
        <w:t xml:space="preserve">, cancer </w:t>
      </w:r>
      <w:proofErr w:type="spellStart"/>
      <w:r>
        <w:rPr>
          <w:rFonts w:ascii="Times New Roman" w:hAnsi="Times New Roman" w:cs="Times New Roman"/>
          <w:color w:val="484C58"/>
          <w:sz w:val="16"/>
          <w:szCs w:val="16"/>
        </w:rPr>
        <w:t>și</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toate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cauzele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și</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cauzele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mortalități</w:t>
      </w:r>
      <w:r>
        <w:rPr>
          <w:rFonts w:ascii="Times New Roman" w:hAnsi="Times New Roman" w:cs="Times New Roman"/>
          <w:color w:val="484C58"/>
          <w:sz w:val="16"/>
          <w:szCs w:val="16"/>
        </w:rPr>
        <w:t>i</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specifice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revizuire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sistematică</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și</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metaanaliză</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doză-răspuns</w:t>
      </w:r>
      <w:proofErr w:type="spellEnd"/>
      <w:r>
        <w:rPr>
          <w:rFonts w:ascii="Times New Roman" w:hAnsi="Times New Roman" w:cs="Times New Roman"/>
          <w:color w:val="484C58"/>
          <w:sz w:val="16"/>
          <w:szCs w:val="16"/>
        </w:rPr>
        <w:t xml:space="preserve"> a </w:t>
      </w:r>
      <w:proofErr w:type="spellStart"/>
      <w:r>
        <w:rPr>
          <w:rFonts w:ascii="Times New Roman" w:hAnsi="Times New Roman" w:cs="Times New Roman"/>
          <w:color w:val="484C58"/>
          <w:sz w:val="16"/>
          <w:szCs w:val="16"/>
        </w:rPr>
        <w:t>studiilor</w:t>
      </w:r>
      <w:proofErr w:type="spellEnd"/>
      <w:r>
        <w:rPr>
          <w:rFonts w:ascii="Times New Roman" w:hAnsi="Times New Roman" w:cs="Times New Roman"/>
          <w:color w:val="484C58"/>
          <w:sz w:val="16"/>
          <w:szCs w:val="16"/>
        </w:rPr>
        <w:t xml:space="preserve"> prospective. </w:t>
      </w:r>
      <w:hyperlink r:id="rId9" w:tgtFrame="_blank">
        <w:proofErr w:type="gramStart"/>
        <w:r>
          <w:rPr>
            <w:rStyle w:val="Emphasis"/>
            <w:rFonts w:ascii="Times New Roman" w:hAnsi="Times New Roman" w:cs="Times New Roman"/>
            <w:color w:val="007EAD"/>
            <w:sz w:val="16"/>
            <w:szCs w:val="16"/>
          </w:rPr>
          <w:t>BMJ</w:t>
        </w:r>
      </w:hyperlink>
      <w:r>
        <w:rPr>
          <w:rStyle w:val="Emphasis"/>
          <w:rFonts w:ascii="Times New Roman" w:hAnsi="Times New Roman" w:cs="Times New Roman"/>
          <w:color w:val="007EAD"/>
          <w:sz w:val="16"/>
          <w:szCs w:val="16"/>
        </w:rPr>
        <w:t xml:space="preserve"> </w:t>
      </w:r>
      <w:r>
        <w:rPr>
          <w:rFonts w:ascii="Times New Roman" w:hAnsi="Times New Roman" w:cs="Times New Roman"/>
          <w:color w:val="484C58"/>
          <w:sz w:val="16"/>
          <w:szCs w:val="16"/>
        </w:rPr>
        <w:t>.</w:t>
      </w:r>
      <w:proofErr w:type="gramEnd"/>
      <w:r>
        <w:rPr>
          <w:rFonts w:ascii="Times New Roman" w:hAnsi="Times New Roman" w:cs="Times New Roman"/>
          <w:color w:val="484C58"/>
          <w:sz w:val="16"/>
          <w:szCs w:val="16"/>
        </w:rPr>
        <w:t xml:space="preserve"> 2016</w:t>
      </w:r>
      <w:proofErr w:type="gramStart"/>
      <w:r>
        <w:rPr>
          <w:rFonts w:ascii="Times New Roman" w:hAnsi="Times New Roman" w:cs="Times New Roman"/>
          <w:color w:val="484C58"/>
          <w:sz w:val="16"/>
          <w:szCs w:val="16"/>
        </w:rPr>
        <w:t>;353:i2716</w:t>
      </w:r>
      <w:proofErr w:type="gramEnd"/>
      <w:r>
        <w:rPr>
          <w:rFonts w:ascii="Times New Roman" w:hAnsi="Times New Roman" w:cs="Times New Roman"/>
          <w:color w:val="484C58"/>
          <w:sz w:val="16"/>
          <w:szCs w:val="16"/>
        </w:rPr>
        <w:t>.</w:t>
      </w:r>
    </w:p>
    <w:p w:rsidR="004D1086" w:rsidRDefault="006E0098">
      <w:pPr>
        <w:shd w:val="clear" w:color="auto" w:fill="FFFFFF"/>
        <w:spacing w:after="0" w:line="240" w:lineRule="auto"/>
        <w:rPr>
          <w:rFonts w:ascii="Times New Roman" w:hAnsi="Times New Roman" w:cs="Times New Roman"/>
          <w:color w:val="484C58"/>
          <w:sz w:val="16"/>
          <w:szCs w:val="16"/>
        </w:rPr>
      </w:pPr>
      <w:proofErr w:type="gramStart"/>
      <w:r>
        <w:rPr>
          <w:rFonts w:ascii="Times New Roman" w:hAnsi="Times New Roman" w:cs="Times New Roman"/>
          <w:color w:val="484C58"/>
          <w:sz w:val="16"/>
          <w:szCs w:val="16"/>
        </w:rPr>
        <w:t xml:space="preserve">Jacobs DR, Jr., </w:t>
      </w:r>
      <w:proofErr w:type="spellStart"/>
      <w:r>
        <w:rPr>
          <w:rFonts w:ascii="Times New Roman" w:hAnsi="Times New Roman" w:cs="Times New Roman"/>
          <w:color w:val="484C58"/>
          <w:sz w:val="16"/>
          <w:szCs w:val="16"/>
        </w:rPr>
        <w:t>Marquart</w:t>
      </w:r>
      <w:proofErr w:type="spellEnd"/>
      <w:r>
        <w:rPr>
          <w:rFonts w:ascii="Times New Roman" w:hAnsi="Times New Roman" w:cs="Times New Roman"/>
          <w:color w:val="484C58"/>
          <w:sz w:val="16"/>
          <w:szCs w:val="16"/>
        </w:rPr>
        <w:t xml:space="preserve"> L, </w:t>
      </w:r>
      <w:proofErr w:type="spellStart"/>
      <w:r>
        <w:rPr>
          <w:rFonts w:ascii="Times New Roman" w:hAnsi="Times New Roman" w:cs="Times New Roman"/>
          <w:color w:val="484C58"/>
          <w:sz w:val="16"/>
          <w:szCs w:val="16"/>
        </w:rPr>
        <w:t>Slavin</w:t>
      </w:r>
      <w:proofErr w:type="spellEnd"/>
      <w:r>
        <w:rPr>
          <w:rFonts w:ascii="Times New Roman" w:hAnsi="Times New Roman" w:cs="Times New Roman"/>
          <w:color w:val="484C58"/>
          <w:sz w:val="16"/>
          <w:szCs w:val="16"/>
        </w:rPr>
        <w:t xml:space="preserve"> J, </w:t>
      </w:r>
      <w:proofErr w:type="spellStart"/>
      <w:r>
        <w:rPr>
          <w:rFonts w:ascii="Times New Roman" w:hAnsi="Times New Roman" w:cs="Times New Roman"/>
          <w:color w:val="484C58"/>
          <w:sz w:val="16"/>
          <w:szCs w:val="16"/>
        </w:rPr>
        <w:t>Kushi</w:t>
      </w:r>
      <w:proofErr w:type="spellEnd"/>
      <w:r>
        <w:rPr>
          <w:rFonts w:ascii="Times New Roman" w:hAnsi="Times New Roman" w:cs="Times New Roman"/>
          <w:color w:val="484C58"/>
          <w:sz w:val="16"/>
          <w:szCs w:val="16"/>
        </w:rPr>
        <w:t xml:space="preserve"> LH.</w:t>
      </w:r>
      <w:proofErr w:type="gram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Aportul</w:t>
      </w:r>
      <w:proofErr w:type="spellEnd"/>
      <w:r>
        <w:rPr>
          <w:rFonts w:ascii="Times New Roman" w:hAnsi="Times New Roman" w:cs="Times New Roman"/>
          <w:color w:val="484C58"/>
          <w:sz w:val="16"/>
          <w:szCs w:val="16"/>
        </w:rPr>
        <w:t xml:space="preserve"> de </w:t>
      </w:r>
      <w:proofErr w:type="spellStart"/>
      <w:r>
        <w:rPr>
          <w:rFonts w:ascii="Times New Roman" w:hAnsi="Times New Roman" w:cs="Times New Roman"/>
          <w:color w:val="484C58"/>
          <w:sz w:val="16"/>
          <w:szCs w:val="16"/>
        </w:rPr>
        <w:t>cereale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inte</w:t>
      </w:r>
      <w:r>
        <w:rPr>
          <w:rFonts w:ascii="Times New Roman" w:hAnsi="Times New Roman" w:cs="Times New Roman"/>
          <w:color w:val="484C58"/>
          <w:sz w:val="16"/>
          <w:szCs w:val="16"/>
        </w:rPr>
        <w:t>grale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și</w:t>
      </w:r>
      <w:proofErr w:type="spellEnd"/>
      <w:r>
        <w:rPr>
          <w:rFonts w:ascii="Times New Roman" w:hAnsi="Times New Roman" w:cs="Times New Roman"/>
          <w:color w:val="484C58"/>
          <w:sz w:val="16"/>
          <w:szCs w:val="16"/>
        </w:rPr>
        <w:t xml:space="preserve"> cancer: o </w:t>
      </w:r>
      <w:proofErr w:type="spellStart"/>
      <w:r>
        <w:rPr>
          <w:rFonts w:ascii="Times New Roman" w:hAnsi="Times New Roman" w:cs="Times New Roman"/>
          <w:color w:val="484C58"/>
          <w:sz w:val="16"/>
          <w:szCs w:val="16"/>
        </w:rPr>
        <w:t>revizuire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extinsă</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și</w:t>
      </w:r>
      <w:proofErr w:type="spellEnd"/>
      <w:r>
        <w:rPr>
          <w:rFonts w:ascii="Times New Roman" w:hAnsi="Times New Roman" w:cs="Times New Roman"/>
          <w:color w:val="484C58"/>
          <w:sz w:val="16"/>
          <w:szCs w:val="16"/>
        </w:rPr>
        <w:t xml:space="preserve"> meta-</w:t>
      </w:r>
      <w:proofErr w:type="spellStart"/>
      <w:r>
        <w:rPr>
          <w:rFonts w:ascii="Times New Roman" w:hAnsi="Times New Roman" w:cs="Times New Roman"/>
          <w:color w:val="484C58"/>
          <w:sz w:val="16"/>
          <w:szCs w:val="16"/>
        </w:rPr>
        <w:t>analiză</w:t>
      </w:r>
      <w:proofErr w:type="spellEnd"/>
      <w:r>
        <w:rPr>
          <w:rFonts w:ascii="Times New Roman" w:hAnsi="Times New Roman" w:cs="Times New Roman"/>
          <w:color w:val="484C58"/>
          <w:sz w:val="16"/>
          <w:szCs w:val="16"/>
        </w:rPr>
        <w:t xml:space="preserve">. </w:t>
      </w:r>
      <w:hyperlink r:id="rId10" w:tgtFrame="_blank">
        <w:proofErr w:type="spellStart"/>
        <w:r>
          <w:rPr>
            <w:rStyle w:val="Hyperlink"/>
            <w:rFonts w:ascii="Times New Roman" w:hAnsi="Times New Roman" w:cs="Times New Roman"/>
            <w:i/>
            <w:iCs/>
            <w:color w:val="007EAD"/>
            <w:sz w:val="16"/>
            <w:szCs w:val="16"/>
          </w:rPr>
          <w:t>Nutr</w:t>
        </w:r>
        <w:proofErr w:type="spellEnd"/>
        <w:r>
          <w:rPr>
            <w:rStyle w:val="Hyperlink"/>
            <w:rFonts w:ascii="Times New Roman" w:hAnsi="Times New Roman" w:cs="Times New Roman"/>
            <w:i/>
            <w:iCs/>
            <w:color w:val="007EAD"/>
            <w:sz w:val="16"/>
            <w:szCs w:val="16"/>
          </w:rPr>
          <w:t xml:space="preserve"> Cancer</w:t>
        </w:r>
      </w:hyperlink>
      <w:r>
        <w:rPr>
          <w:rStyle w:val="Hyperlink"/>
          <w:rFonts w:ascii="Times New Roman" w:hAnsi="Times New Roman" w:cs="Times New Roman"/>
          <w:i/>
          <w:iCs/>
          <w:color w:val="007EAD"/>
          <w:sz w:val="16"/>
          <w:szCs w:val="16"/>
        </w:rPr>
        <w:t xml:space="preserve"> </w:t>
      </w:r>
      <w:r>
        <w:rPr>
          <w:rFonts w:ascii="Times New Roman" w:hAnsi="Times New Roman" w:cs="Times New Roman"/>
          <w:color w:val="484C58"/>
          <w:sz w:val="16"/>
          <w:szCs w:val="16"/>
        </w:rPr>
        <w:t>. 1998</w:t>
      </w:r>
      <w:proofErr w:type="gramStart"/>
      <w:r>
        <w:rPr>
          <w:rFonts w:ascii="Times New Roman" w:hAnsi="Times New Roman" w:cs="Times New Roman"/>
          <w:color w:val="484C58"/>
          <w:sz w:val="16"/>
          <w:szCs w:val="16"/>
        </w:rPr>
        <w:t>;30:85</w:t>
      </w:r>
      <w:proofErr w:type="gramEnd"/>
      <w:r>
        <w:rPr>
          <w:rFonts w:ascii="Times New Roman" w:hAnsi="Times New Roman" w:cs="Times New Roman"/>
          <w:color w:val="484C58"/>
          <w:sz w:val="16"/>
          <w:szCs w:val="16"/>
        </w:rPr>
        <w:t>-96.</w:t>
      </w:r>
    </w:p>
    <w:p w:rsidR="004D1086" w:rsidRDefault="006E0098">
      <w:pPr>
        <w:shd w:val="clear" w:color="auto" w:fill="FFFFFF"/>
        <w:spacing w:after="0" w:line="240" w:lineRule="auto"/>
        <w:rPr>
          <w:rFonts w:ascii="Times New Roman" w:hAnsi="Times New Roman" w:cs="Times New Roman"/>
          <w:color w:val="484C58"/>
          <w:sz w:val="16"/>
          <w:szCs w:val="16"/>
        </w:rPr>
      </w:pPr>
      <w:proofErr w:type="spellStart"/>
      <w:r>
        <w:rPr>
          <w:rFonts w:ascii="Times New Roman" w:hAnsi="Times New Roman" w:cs="Times New Roman"/>
          <w:color w:val="484C58"/>
          <w:sz w:val="16"/>
          <w:szCs w:val="16"/>
        </w:rPr>
        <w:t>Schatzkin</w:t>
      </w:r>
      <w:proofErr w:type="spellEnd"/>
      <w:r>
        <w:rPr>
          <w:rFonts w:ascii="Times New Roman" w:hAnsi="Times New Roman" w:cs="Times New Roman"/>
          <w:color w:val="484C58"/>
          <w:sz w:val="16"/>
          <w:szCs w:val="16"/>
        </w:rPr>
        <w:t xml:space="preserve"> A, </w:t>
      </w:r>
      <w:proofErr w:type="spellStart"/>
      <w:r>
        <w:rPr>
          <w:rFonts w:ascii="Times New Roman" w:hAnsi="Times New Roman" w:cs="Times New Roman"/>
          <w:color w:val="484C58"/>
          <w:sz w:val="16"/>
          <w:szCs w:val="16"/>
        </w:rPr>
        <w:t>Mouw</w:t>
      </w:r>
      <w:proofErr w:type="spellEnd"/>
      <w:r>
        <w:rPr>
          <w:rFonts w:ascii="Times New Roman" w:hAnsi="Times New Roman" w:cs="Times New Roman"/>
          <w:color w:val="484C58"/>
          <w:sz w:val="16"/>
          <w:szCs w:val="16"/>
        </w:rPr>
        <w:t xml:space="preserve"> T, Park Y, et al. </w:t>
      </w:r>
      <w:proofErr w:type="spellStart"/>
      <w:r>
        <w:rPr>
          <w:rFonts w:ascii="Times New Roman" w:hAnsi="Times New Roman" w:cs="Times New Roman"/>
          <w:color w:val="484C58"/>
          <w:sz w:val="16"/>
          <w:szCs w:val="16"/>
        </w:rPr>
        <w:t>Fibre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alimentare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și</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consumul</w:t>
      </w:r>
      <w:proofErr w:type="spellEnd"/>
      <w:r>
        <w:rPr>
          <w:rFonts w:ascii="Times New Roman" w:hAnsi="Times New Roman" w:cs="Times New Roman"/>
          <w:color w:val="484C58"/>
          <w:sz w:val="16"/>
          <w:szCs w:val="16"/>
        </w:rPr>
        <w:t xml:space="preserve"> de </w:t>
      </w:r>
      <w:proofErr w:type="spellStart"/>
      <w:r>
        <w:rPr>
          <w:rFonts w:ascii="Times New Roman" w:hAnsi="Times New Roman" w:cs="Times New Roman"/>
          <w:color w:val="484C58"/>
          <w:sz w:val="16"/>
          <w:szCs w:val="16"/>
        </w:rPr>
        <w:t>cereale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integrale</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în</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relație</w:t>
      </w:r>
      <w:proofErr w:type="spellEnd"/>
      <w:r>
        <w:rPr>
          <w:rFonts w:ascii="Times New Roman" w:hAnsi="Times New Roman" w:cs="Times New Roman"/>
          <w:color w:val="484C58"/>
          <w:sz w:val="16"/>
          <w:szCs w:val="16"/>
        </w:rPr>
        <w:t xml:space="preserve"> cu</w:t>
      </w:r>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cancerul</w:t>
      </w:r>
      <w:proofErr w:type="spellEnd"/>
      <w:r>
        <w:rPr>
          <w:rFonts w:ascii="Times New Roman" w:hAnsi="Times New Roman" w:cs="Times New Roman"/>
          <w:color w:val="484C58"/>
          <w:sz w:val="16"/>
          <w:szCs w:val="16"/>
        </w:rPr>
        <w:t xml:space="preserve"> colorectal </w:t>
      </w:r>
      <w:proofErr w:type="spellStart"/>
      <w:r>
        <w:rPr>
          <w:rFonts w:ascii="Times New Roman" w:hAnsi="Times New Roman" w:cs="Times New Roman"/>
          <w:color w:val="484C58"/>
          <w:sz w:val="16"/>
          <w:szCs w:val="16"/>
        </w:rPr>
        <w:t>în</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Studiul</w:t>
      </w:r>
      <w:proofErr w:type="spellEnd"/>
      <w:r>
        <w:rPr>
          <w:rFonts w:ascii="Times New Roman" w:hAnsi="Times New Roman" w:cs="Times New Roman"/>
          <w:color w:val="484C58"/>
          <w:sz w:val="16"/>
          <w:szCs w:val="16"/>
        </w:rPr>
        <w:t xml:space="preserve"> NIH-AARP </w:t>
      </w:r>
      <w:proofErr w:type="spellStart"/>
      <w:r>
        <w:rPr>
          <w:rFonts w:ascii="Times New Roman" w:hAnsi="Times New Roman" w:cs="Times New Roman"/>
          <w:color w:val="484C58"/>
          <w:sz w:val="16"/>
          <w:szCs w:val="16"/>
        </w:rPr>
        <w:t>privind</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dieta</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și</w:t>
      </w:r>
      <w:proofErr w:type="spellEnd"/>
      <w:r>
        <w:rPr>
          <w:rFonts w:ascii="Times New Roman" w:hAnsi="Times New Roman" w:cs="Times New Roman"/>
          <w:color w:val="484C58"/>
          <w:sz w:val="16"/>
          <w:szCs w:val="16"/>
        </w:rPr>
        <w:t xml:space="preserve"> </w:t>
      </w:r>
      <w:proofErr w:type="spellStart"/>
      <w:r>
        <w:rPr>
          <w:rFonts w:ascii="Times New Roman" w:hAnsi="Times New Roman" w:cs="Times New Roman"/>
          <w:color w:val="484C58"/>
          <w:sz w:val="16"/>
          <w:szCs w:val="16"/>
        </w:rPr>
        <w:t>sănătatea</w:t>
      </w:r>
      <w:proofErr w:type="spellEnd"/>
      <w:r>
        <w:rPr>
          <w:rFonts w:ascii="Times New Roman" w:hAnsi="Times New Roman" w:cs="Times New Roman"/>
          <w:color w:val="484C58"/>
          <w:sz w:val="16"/>
          <w:szCs w:val="16"/>
        </w:rPr>
        <w:t xml:space="preserve">. </w:t>
      </w:r>
      <w:hyperlink r:id="rId11" w:tgtFrame="_blank">
        <w:proofErr w:type="gramStart"/>
        <w:r>
          <w:rPr>
            <w:rStyle w:val="Emphasis"/>
            <w:rFonts w:ascii="Times New Roman" w:hAnsi="Times New Roman" w:cs="Times New Roman"/>
            <w:color w:val="007EAD"/>
            <w:sz w:val="16"/>
            <w:szCs w:val="16"/>
          </w:rPr>
          <w:t xml:space="preserve">Am J </w:t>
        </w:r>
        <w:proofErr w:type="spellStart"/>
        <w:r>
          <w:rPr>
            <w:rStyle w:val="Emphasis"/>
            <w:rFonts w:ascii="Times New Roman" w:hAnsi="Times New Roman" w:cs="Times New Roman"/>
            <w:color w:val="007EAD"/>
            <w:sz w:val="16"/>
            <w:szCs w:val="16"/>
          </w:rPr>
          <w:t>Clin</w:t>
        </w:r>
        <w:proofErr w:type="spellEnd"/>
        <w:r>
          <w:rPr>
            <w:rStyle w:val="Emphasis"/>
            <w:rFonts w:ascii="Times New Roman" w:hAnsi="Times New Roman" w:cs="Times New Roman"/>
            <w:color w:val="007EAD"/>
            <w:sz w:val="16"/>
            <w:szCs w:val="16"/>
          </w:rPr>
          <w:t xml:space="preserve"> </w:t>
        </w:r>
        <w:proofErr w:type="spellStart"/>
        <w:r>
          <w:rPr>
            <w:rStyle w:val="Emphasis"/>
            <w:rFonts w:ascii="Times New Roman" w:hAnsi="Times New Roman" w:cs="Times New Roman"/>
            <w:color w:val="007EAD"/>
            <w:sz w:val="16"/>
            <w:szCs w:val="16"/>
          </w:rPr>
          <w:t>Nutr</w:t>
        </w:r>
        <w:proofErr w:type="spellEnd"/>
      </w:hyperlink>
      <w:r>
        <w:rPr>
          <w:rStyle w:val="Emphasis"/>
          <w:rFonts w:ascii="Times New Roman" w:hAnsi="Times New Roman" w:cs="Times New Roman"/>
          <w:color w:val="007EAD"/>
          <w:sz w:val="16"/>
          <w:szCs w:val="16"/>
        </w:rPr>
        <w:t xml:space="preserve"> </w:t>
      </w:r>
      <w:r>
        <w:rPr>
          <w:rFonts w:ascii="Times New Roman" w:hAnsi="Times New Roman" w:cs="Times New Roman"/>
          <w:color w:val="484C58"/>
          <w:sz w:val="16"/>
          <w:szCs w:val="16"/>
        </w:rPr>
        <w:t>.</w:t>
      </w:r>
      <w:proofErr w:type="gramEnd"/>
      <w:r>
        <w:rPr>
          <w:rFonts w:ascii="Times New Roman" w:hAnsi="Times New Roman" w:cs="Times New Roman"/>
          <w:color w:val="484C58"/>
          <w:sz w:val="16"/>
          <w:szCs w:val="16"/>
        </w:rPr>
        <w:t xml:space="preserve"> 2007</w:t>
      </w:r>
      <w:proofErr w:type="gramStart"/>
      <w:r>
        <w:rPr>
          <w:rFonts w:ascii="Times New Roman" w:hAnsi="Times New Roman" w:cs="Times New Roman"/>
          <w:color w:val="484C58"/>
          <w:sz w:val="16"/>
          <w:szCs w:val="16"/>
        </w:rPr>
        <w:t>;85:1353</w:t>
      </w:r>
      <w:proofErr w:type="gramEnd"/>
      <w:r>
        <w:rPr>
          <w:rFonts w:ascii="Times New Roman" w:hAnsi="Times New Roman" w:cs="Times New Roman"/>
          <w:color w:val="484C58"/>
          <w:sz w:val="16"/>
          <w:szCs w:val="16"/>
        </w:rPr>
        <w:t>-60.</w:t>
      </w:r>
    </w:p>
    <w:p w:rsidR="004D1086" w:rsidRDefault="004D1086">
      <w:pPr>
        <w:pStyle w:val="FootnoteText"/>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638D"/>
    <w:multiLevelType w:val="multilevel"/>
    <w:tmpl w:val="EBCEBC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7DB0349"/>
    <w:multiLevelType w:val="multilevel"/>
    <w:tmpl w:val="72022E4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8EA3B15"/>
    <w:multiLevelType w:val="multilevel"/>
    <w:tmpl w:val="BF78FE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9105ACC"/>
    <w:multiLevelType w:val="multilevel"/>
    <w:tmpl w:val="FA4CFD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nsid w:val="0E3E2407"/>
    <w:multiLevelType w:val="multilevel"/>
    <w:tmpl w:val="D612F8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1CAA52C3"/>
    <w:multiLevelType w:val="multilevel"/>
    <w:tmpl w:val="A74EFC6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E350662"/>
    <w:multiLevelType w:val="multilevel"/>
    <w:tmpl w:val="2AE048E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74D7BA3"/>
    <w:multiLevelType w:val="multilevel"/>
    <w:tmpl w:val="E2E8A4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50FA3CAE"/>
    <w:multiLevelType w:val="multilevel"/>
    <w:tmpl w:val="607AAF3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556F3E2D"/>
    <w:multiLevelType w:val="multilevel"/>
    <w:tmpl w:val="0D7CC8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
    <w:nsid w:val="66255D21"/>
    <w:multiLevelType w:val="multilevel"/>
    <w:tmpl w:val="10D2B38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6A5C278D"/>
    <w:multiLevelType w:val="multilevel"/>
    <w:tmpl w:val="E828EC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
    <w:nsid w:val="6DD13B04"/>
    <w:multiLevelType w:val="multilevel"/>
    <w:tmpl w:val="A792FBC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nsid w:val="76E043A5"/>
    <w:multiLevelType w:val="multilevel"/>
    <w:tmpl w:val="AF5A93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1"/>
  </w:num>
  <w:num w:numId="2">
    <w:abstractNumId w:val="1"/>
  </w:num>
  <w:num w:numId="3">
    <w:abstractNumId w:val="10"/>
  </w:num>
  <w:num w:numId="4">
    <w:abstractNumId w:val="8"/>
  </w:num>
  <w:num w:numId="5">
    <w:abstractNumId w:val="5"/>
  </w:num>
  <w:num w:numId="6">
    <w:abstractNumId w:val="0"/>
  </w:num>
  <w:num w:numId="7">
    <w:abstractNumId w:val="6"/>
  </w:num>
  <w:num w:numId="8">
    <w:abstractNumId w:val="7"/>
  </w:num>
  <w:num w:numId="9">
    <w:abstractNumId w:val="9"/>
  </w:num>
  <w:num w:numId="10">
    <w:abstractNumId w:val="12"/>
  </w:num>
  <w:num w:numId="11">
    <w:abstractNumId w:val="3"/>
  </w:num>
  <w:num w:numId="12">
    <w:abstractNumId w:val="4"/>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086"/>
    <w:rsid w:val="001D2240"/>
    <w:rsid w:val="004D1086"/>
    <w:rsid w:val="006E0098"/>
  </w:rsids>
  <m:mathPr>
    <m:mathFont m:val="Cambria Math"/>
    <m:brkBin m:val="before"/>
    <m:brkBinSub m:val="--"/>
    <m:smallFrac m:val="0"/>
    <m:dispDef/>
    <m:lMargin m:val="0"/>
    <m:rMargin m:val="0"/>
    <m:defJc m:val="centerGroup"/>
    <m:wrapIndent m:val="1440"/>
    <m:intLim m:val="subSup"/>
    <m:naryLim m:val="undOvr"/>
  </m:mathPr>
  <w:themeFontLang w:val="ro-R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E3A"/>
    <w:pPr>
      <w:spacing w:after="160" w:line="259" w:lineRule="auto"/>
    </w:pPr>
  </w:style>
  <w:style w:type="paragraph" w:styleId="Heading2">
    <w:name w:val="heading 2"/>
    <w:basedOn w:val="Normal"/>
    <w:link w:val="Heading2Char"/>
    <w:uiPriority w:val="9"/>
    <w:qFormat/>
    <w:rsid w:val="00047195"/>
    <w:pPr>
      <w:spacing w:beforeAutospacing="1" w:afterAutospacing="1" w:line="240" w:lineRule="auto"/>
      <w:outlineLvl w:val="1"/>
    </w:pPr>
    <w:rPr>
      <w:rFonts w:ascii="Times New Roman" w:eastAsia="Times New Roman" w:hAnsi="Times New Roman" w:cs="Times New Roman"/>
      <w:b/>
      <w:bCs/>
      <w:sz w:val="36"/>
      <w:szCs w:val="36"/>
      <w:lang w:val="ro-RO" w:eastAsia="ro-RO"/>
    </w:rPr>
  </w:style>
  <w:style w:type="paragraph" w:styleId="Heading3">
    <w:name w:val="heading 3"/>
    <w:basedOn w:val="Normal"/>
    <w:next w:val="Normal"/>
    <w:link w:val="Heading3Char"/>
    <w:uiPriority w:val="9"/>
    <w:unhideWhenUsed/>
    <w:qFormat/>
    <w:rsid w:val="001433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C12A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qFormat/>
    <w:rsid w:val="00EE1CAC"/>
    <w:rPr>
      <w:sz w:val="20"/>
      <w:szCs w:val="20"/>
    </w:rPr>
  </w:style>
  <w:style w:type="character" w:customStyle="1" w:styleId="FootnoteCharacters">
    <w:name w:val="Footnote Characters"/>
    <w:basedOn w:val="DefaultParagraphFont"/>
    <w:unhideWhenUsed/>
    <w:qFormat/>
    <w:rsid w:val="00EE1CAC"/>
    <w:rPr>
      <w:vertAlign w:val="superscript"/>
    </w:rPr>
  </w:style>
  <w:style w:type="character" w:customStyle="1" w:styleId="FootnoteAnchor">
    <w:name w:val="Footnote Anchor"/>
    <w:rPr>
      <w:vertAlign w:val="superscript"/>
    </w:rPr>
  </w:style>
  <w:style w:type="character" w:styleId="Hyperlink">
    <w:name w:val="Hyperlink"/>
    <w:basedOn w:val="DefaultParagraphFont"/>
    <w:uiPriority w:val="99"/>
    <w:unhideWhenUsed/>
    <w:rsid w:val="00EE1CAC"/>
    <w:rPr>
      <w:color w:val="0000FF"/>
      <w:u w:val="single"/>
    </w:rPr>
  </w:style>
  <w:style w:type="character" w:customStyle="1" w:styleId="Heading3Char">
    <w:name w:val="Heading 3 Char"/>
    <w:basedOn w:val="DefaultParagraphFont"/>
    <w:link w:val="Heading3"/>
    <w:uiPriority w:val="9"/>
    <w:qFormat/>
    <w:rsid w:val="001433D8"/>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433D8"/>
    <w:rPr>
      <w:i/>
      <w:iCs/>
    </w:rPr>
  </w:style>
  <w:style w:type="character" w:customStyle="1" w:styleId="ecl-linklabel">
    <w:name w:val="ecl-link__label"/>
    <w:basedOn w:val="DefaultParagraphFont"/>
    <w:qFormat/>
    <w:rsid w:val="00047195"/>
  </w:style>
  <w:style w:type="character" w:customStyle="1" w:styleId="Heading2Char">
    <w:name w:val="Heading 2 Char"/>
    <w:basedOn w:val="DefaultParagraphFont"/>
    <w:link w:val="Heading2"/>
    <w:uiPriority w:val="9"/>
    <w:qFormat/>
    <w:rsid w:val="00047195"/>
    <w:rPr>
      <w:rFonts w:ascii="Times New Roman" w:eastAsia="Times New Roman" w:hAnsi="Times New Roman" w:cs="Times New Roman"/>
      <w:b/>
      <w:bCs/>
      <w:sz w:val="36"/>
      <w:szCs w:val="36"/>
      <w:lang w:val="ro-RO" w:eastAsia="ro-RO"/>
    </w:rPr>
  </w:style>
  <w:style w:type="character" w:customStyle="1" w:styleId="Heading4Char">
    <w:name w:val="Heading 4 Char"/>
    <w:basedOn w:val="DefaultParagraphFont"/>
    <w:link w:val="Heading4"/>
    <w:uiPriority w:val="9"/>
    <w:semiHidden/>
    <w:qFormat/>
    <w:rsid w:val="004C12A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1651A7"/>
    <w:rPr>
      <w:b/>
      <w:bCs/>
    </w:rPr>
  </w:style>
  <w:style w:type="character" w:customStyle="1" w:styleId="MeniuneNerezolvat1">
    <w:name w:val="Mențiune Nerezolvat1"/>
    <w:basedOn w:val="DefaultParagraphFont"/>
    <w:uiPriority w:val="99"/>
    <w:semiHidden/>
    <w:unhideWhenUsed/>
    <w:qFormat/>
    <w:rsid w:val="00D433E9"/>
    <w:rPr>
      <w:color w:val="605E5C"/>
      <w:shd w:val="clear" w:color="auto" w:fill="E1DFDD"/>
    </w:rPr>
  </w:style>
  <w:style w:type="character" w:styleId="FollowedHyperlink">
    <w:name w:val="FollowedHyperlink"/>
    <w:basedOn w:val="DefaultParagraphFont"/>
    <w:uiPriority w:val="99"/>
    <w:semiHidden/>
    <w:unhideWhenUsed/>
    <w:rsid w:val="002A43DE"/>
    <w:rPr>
      <w:color w:val="954F72" w:themeColor="followedHyperlink"/>
      <w:u w:val="single"/>
    </w:rPr>
  </w:style>
  <w:style w:type="character" w:customStyle="1" w:styleId="FooterChar">
    <w:name w:val="Footer Char"/>
    <w:basedOn w:val="DefaultParagraphFont"/>
    <w:link w:val="Footer"/>
    <w:qFormat/>
    <w:rsid w:val="0009208D"/>
    <w:rPr>
      <w:rFonts w:ascii="Times New Roman" w:eastAsia="Calibri" w:hAnsi="Times New Roman" w:cs="Times New Roman"/>
      <w:sz w:val="20"/>
      <w:szCs w:val="20"/>
      <w:lang w:val="x-none" w:eastAsia="x-none"/>
    </w:rPr>
  </w:style>
  <w:style w:type="character" w:customStyle="1" w:styleId="BalloonTextChar">
    <w:name w:val="Balloon Text Char"/>
    <w:basedOn w:val="DefaultParagraphFont"/>
    <w:link w:val="BalloonText"/>
    <w:uiPriority w:val="99"/>
    <w:semiHidden/>
    <w:qFormat/>
    <w:rsid w:val="00280AA8"/>
    <w:rPr>
      <w:rFonts w:ascii="Tahoma" w:hAnsi="Tahoma" w:cs="Tahoma"/>
      <w:sz w:val="16"/>
      <w:szCs w:val="16"/>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noteText">
    <w:name w:val="footnote text"/>
    <w:basedOn w:val="Normal"/>
    <w:link w:val="FootnoteTextChar"/>
    <w:unhideWhenUsed/>
    <w:rsid w:val="00EE1CAC"/>
    <w:pPr>
      <w:spacing w:after="0" w:line="240" w:lineRule="auto"/>
    </w:pPr>
    <w:rPr>
      <w:sz w:val="20"/>
      <w:szCs w:val="20"/>
    </w:rPr>
  </w:style>
  <w:style w:type="paragraph" w:styleId="NormalWeb">
    <w:name w:val="Normal (Web)"/>
    <w:basedOn w:val="Normal"/>
    <w:uiPriority w:val="99"/>
    <w:unhideWhenUsed/>
    <w:qFormat/>
    <w:rsid w:val="001433D8"/>
    <w:pPr>
      <w:spacing w:beforeAutospacing="1" w:afterAutospacing="1" w:line="240" w:lineRule="auto"/>
    </w:pPr>
    <w:rPr>
      <w:rFonts w:ascii="Times New Roman" w:eastAsia="Times New Roman" w:hAnsi="Times New Roman" w:cs="Times New Roman"/>
      <w:sz w:val="24"/>
      <w:szCs w:val="24"/>
      <w:lang w:val="ro-RO" w:eastAsia="ro-RO"/>
    </w:rPr>
  </w:style>
  <w:style w:type="paragraph" w:styleId="ListParagraph">
    <w:name w:val="List Paragraph"/>
    <w:basedOn w:val="Normal"/>
    <w:qFormat/>
    <w:rsid w:val="002D168D"/>
    <w:pPr>
      <w:spacing w:after="0" w:line="240" w:lineRule="auto"/>
      <w:ind w:left="720"/>
      <w:textAlignment w:val="baseline"/>
    </w:pPr>
    <w:rPr>
      <w:rFonts w:ascii="Verdana" w:eastAsia="Times New Roman" w:hAnsi="Verdana" w:cs="Times New Roman"/>
      <w:sz w:val="20"/>
      <w:szCs w:val="20"/>
    </w:rPr>
  </w:style>
  <w:style w:type="paragraph" w:customStyle="1" w:styleId="ecl-page-header-standardiseddescription">
    <w:name w:val="ecl-page-header-standardised__description"/>
    <w:basedOn w:val="Normal"/>
    <w:qFormat/>
    <w:rsid w:val="00047195"/>
    <w:pPr>
      <w:spacing w:beforeAutospacing="1" w:afterAutospacing="1" w:line="240" w:lineRule="auto"/>
    </w:pPr>
    <w:rPr>
      <w:rFonts w:ascii="Times New Roman" w:eastAsia="Times New Roman" w:hAnsi="Times New Roman" w:cs="Times New Roman"/>
      <w:sz w:val="24"/>
      <w:szCs w:val="24"/>
      <w:lang w:val="ro-RO" w:eastAsia="ro-RO"/>
    </w:rPr>
  </w:style>
  <w:style w:type="paragraph" w:customStyle="1" w:styleId="15Times12">
    <w:name w:val="1.5 Times 12"/>
    <w:basedOn w:val="NoSpacing"/>
    <w:qFormat/>
    <w:rsid w:val="0009208D"/>
    <w:pPr>
      <w:spacing w:line="360" w:lineRule="auto"/>
      <w:jc w:val="both"/>
    </w:pPr>
    <w:rPr>
      <w:rFonts w:ascii="Times New Roman" w:eastAsia="Times New Roman" w:hAnsi="Times New Roman" w:cs="Times New Roman"/>
      <w:sz w:val="24"/>
      <w:szCs w:val="24"/>
      <w:lang w:val="ro-RO"/>
    </w:rPr>
  </w:style>
  <w:style w:type="paragraph" w:styleId="NoSpacing">
    <w:name w:val="No Spacing"/>
    <w:uiPriority w:val="1"/>
    <w:qFormat/>
    <w:rsid w:val="0009208D"/>
  </w:style>
  <w:style w:type="paragraph" w:customStyle="1" w:styleId="HeaderandFooter">
    <w:name w:val="Header and Footer"/>
    <w:basedOn w:val="Normal"/>
    <w:qFormat/>
  </w:style>
  <w:style w:type="paragraph" w:styleId="Footer">
    <w:name w:val="footer"/>
    <w:basedOn w:val="Normal"/>
    <w:link w:val="FooterChar"/>
    <w:rsid w:val="0009208D"/>
    <w:pPr>
      <w:tabs>
        <w:tab w:val="center" w:pos="4320"/>
        <w:tab w:val="right" w:pos="8640"/>
      </w:tabs>
      <w:spacing w:after="0" w:line="240" w:lineRule="auto"/>
    </w:pPr>
    <w:rPr>
      <w:rFonts w:ascii="Times New Roman" w:eastAsia="Calibri" w:hAnsi="Times New Roman" w:cs="Times New Roman"/>
      <w:sz w:val="20"/>
      <w:szCs w:val="20"/>
      <w:lang w:val="x-none" w:eastAsia="x-none"/>
    </w:rPr>
  </w:style>
  <w:style w:type="paragraph" w:styleId="BalloonText">
    <w:name w:val="Balloon Text"/>
    <w:basedOn w:val="Normal"/>
    <w:link w:val="BalloonTextChar"/>
    <w:uiPriority w:val="99"/>
    <w:semiHidden/>
    <w:unhideWhenUsed/>
    <w:qFormat/>
    <w:rsid w:val="00280AA8"/>
    <w:pPr>
      <w:spacing w:after="0" w:line="240" w:lineRule="auto"/>
    </w:pPr>
    <w:rPr>
      <w:rFonts w:ascii="Tahoma" w:hAnsi="Tahoma" w:cs="Tahoma"/>
      <w:sz w:val="16"/>
      <w:szCs w:val="16"/>
    </w:rPr>
  </w:style>
  <w:style w:type="paragraph" w:customStyle="1" w:styleId="FrameContents">
    <w:name w:val="Frame Contents"/>
    <w:basedOn w:val="Normal"/>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E3A"/>
    <w:pPr>
      <w:spacing w:after="160" w:line="259" w:lineRule="auto"/>
    </w:pPr>
  </w:style>
  <w:style w:type="paragraph" w:styleId="Heading2">
    <w:name w:val="heading 2"/>
    <w:basedOn w:val="Normal"/>
    <w:link w:val="Heading2Char"/>
    <w:uiPriority w:val="9"/>
    <w:qFormat/>
    <w:rsid w:val="00047195"/>
    <w:pPr>
      <w:spacing w:beforeAutospacing="1" w:afterAutospacing="1" w:line="240" w:lineRule="auto"/>
      <w:outlineLvl w:val="1"/>
    </w:pPr>
    <w:rPr>
      <w:rFonts w:ascii="Times New Roman" w:eastAsia="Times New Roman" w:hAnsi="Times New Roman" w:cs="Times New Roman"/>
      <w:b/>
      <w:bCs/>
      <w:sz w:val="36"/>
      <w:szCs w:val="36"/>
      <w:lang w:val="ro-RO" w:eastAsia="ro-RO"/>
    </w:rPr>
  </w:style>
  <w:style w:type="paragraph" w:styleId="Heading3">
    <w:name w:val="heading 3"/>
    <w:basedOn w:val="Normal"/>
    <w:next w:val="Normal"/>
    <w:link w:val="Heading3Char"/>
    <w:uiPriority w:val="9"/>
    <w:unhideWhenUsed/>
    <w:qFormat/>
    <w:rsid w:val="001433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C12A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qFormat/>
    <w:rsid w:val="00EE1CAC"/>
    <w:rPr>
      <w:sz w:val="20"/>
      <w:szCs w:val="20"/>
    </w:rPr>
  </w:style>
  <w:style w:type="character" w:customStyle="1" w:styleId="FootnoteCharacters">
    <w:name w:val="Footnote Characters"/>
    <w:basedOn w:val="DefaultParagraphFont"/>
    <w:unhideWhenUsed/>
    <w:qFormat/>
    <w:rsid w:val="00EE1CAC"/>
    <w:rPr>
      <w:vertAlign w:val="superscript"/>
    </w:rPr>
  </w:style>
  <w:style w:type="character" w:customStyle="1" w:styleId="FootnoteAnchor">
    <w:name w:val="Footnote Anchor"/>
    <w:rPr>
      <w:vertAlign w:val="superscript"/>
    </w:rPr>
  </w:style>
  <w:style w:type="character" w:styleId="Hyperlink">
    <w:name w:val="Hyperlink"/>
    <w:basedOn w:val="DefaultParagraphFont"/>
    <w:uiPriority w:val="99"/>
    <w:unhideWhenUsed/>
    <w:rsid w:val="00EE1CAC"/>
    <w:rPr>
      <w:color w:val="0000FF"/>
      <w:u w:val="single"/>
    </w:rPr>
  </w:style>
  <w:style w:type="character" w:customStyle="1" w:styleId="Heading3Char">
    <w:name w:val="Heading 3 Char"/>
    <w:basedOn w:val="DefaultParagraphFont"/>
    <w:link w:val="Heading3"/>
    <w:uiPriority w:val="9"/>
    <w:qFormat/>
    <w:rsid w:val="001433D8"/>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433D8"/>
    <w:rPr>
      <w:i/>
      <w:iCs/>
    </w:rPr>
  </w:style>
  <w:style w:type="character" w:customStyle="1" w:styleId="ecl-linklabel">
    <w:name w:val="ecl-link__label"/>
    <w:basedOn w:val="DefaultParagraphFont"/>
    <w:qFormat/>
    <w:rsid w:val="00047195"/>
  </w:style>
  <w:style w:type="character" w:customStyle="1" w:styleId="Heading2Char">
    <w:name w:val="Heading 2 Char"/>
    <w:basedOn w:val="DefaultParagraphFont"/>
    <w:link w:val="Heading2"/>
    <w:uiPriority w:val="9"/>
    <w:qFormat/>
    <w:rsid w:val="00047195"/>
    <w:rPr>
      <w:rFonts w:ascii="Times New Roman" w:eastAsia="Times New Roman" w:hAnsi="Times New Roman" w:cs="Times New Roman"/>
      <w:b/>
      <w:bCs/>
      <w:sz w:val="36"/>
      <w:szCs w:val="36"/>
      <w:lang w:val="ro-RO" w:eastAsia="ro-RO"/>
    </w:rPr>
  </w:style>
  <w:style w:type="character" w:customStyle="1" w:styleId="Heading4Char">
    <w:name w:val="Heading 4 Char"/>
    <w:basedOn w:val="DefaultParagraphFont"/>
    <w:link w:val="Heading4"/>
    <w:uiPriority w:val="9"/>
    <w:semiHidden/>
    <w:qFormat/>
    <w:rsid w:val="004C12A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1651A7"/>
    <w:rPr>
      <w:b/>
      <w:bCs/>
    </w:rPr>
  </w:style>
  <w:style w:type="character" w:customStyle="1" w:styleId="MeniuneNerezolvat1">
    <w:name w:val="Mențiune Nerezolvat1"/>
    <w:basedOn w:val="DefaultParagraphFont"/>
    <w:uiPriority w:val="99"/>
    <w:semiHidden/>
    <w:unhideWhenUsed/>
    <w:qFormat/>
    <w:rsid w:val="00D433E9"/>
    <w:rPr>
      <w:color w:val="605E5C"/>
      <w:shd w:val="clear" w:color="auto" w:fill="E1DFDD"/>
    </w:rPr>
  </w:style>
  <w:style w:type="character" w:styleId="FollowedHyperlink">
    <w:name w:val="FollowedHyperlink"/>
    <w:basedOn w:val="DefaultParagraphFont"/>
    <w:uiPriority w:val="99"/>
    <w:semiHidden/>
    <w:unhideWhenUsed/>
    <w:rsid w:val="002A43DE"/>
    <w:rPr>
      <w:color w:val="954F72" w:themeColor="followedHyperlink"/>
      <w:u w:val="single"/>
    </w:rPr>
  </w:style>
  <w:style w:type="character" w:customStyle="1" w:styleId="FooterChar">
    <w:name w:val="Footer Char"/>
    <w:basedOn w:val="DefaultParagraphFont"/>
    <w:link w:val="Footer"/>
    <w:qFormat/>
    <w:rsid w:val="0009208D"/>
    <w:rPr>
      <w:rFonts w:ascii="Times New Roman" w:eastAsia="Calibri" w:hAnsi="Times New Roman" w:cs="Times New Roman"/>
      <w:sz w:val="20"/>
      <w:szCs w:val="20"/>
      <w:lang w:val="x-none" w:eastAsia="x-none"/>
    </w:rPr>
  </w:style>
  <w:style w:type="character" w:customStyle="1" w:styleId="BalloonTextChar">
    <w:name w:val="Balloon Text Char"/>
    <w:basedOn w:val="DefaultParagraphFont"/>
    <w:link w:val="BalloonText"/>
    <w:uiPriority w:val="99"/>
    <w:semiHidden/>
    <w:qFormat/>
    <w:rsid w:val="00280AA8"/>
    <w:rPr>
      <w:rFonts w:ascii="Tahoma" w:hAnsi="Tahoma" w:cs="Tahoma"/>
      <w:sz w:val="16"/>
      <w:szCs w:val="16"/>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noteText">
    <w:name w:val="footnote text"/>
    <w:basedOn w:val="Normal"/>
    <w:link w:val="FootnoteTextChar"/>
    <w:unhideWhenUsed/>
    <w:rsid w:val="00EE1CAC"/>
    <w:pPr>
      <w:spacing w:after="0" w:line="240" w:lineRule="auto"/>
    </w:pPr>
    <w:rPr>
      <w:sz w:val="20"/>
      <w:szCs w:val="20"/>
    </w:rPr>
  </w:style>
  <w:style w:type="paragraph" w:styleId="NormalWeb">
    <w:name w:val="Normal (Web)"/>
    <w:basedOn w:val="Normal"/>
    <w:uiPriority w:val="99"/>
    <w:unhideWhenUsed/>
    <w:qFormat/>
    <w:rsid w:val="001433D8"/>
    <w:pPr>
      <w:spacing w:beforeAutospacing="1" w:afterAutospacing="1" w:line="240" w:lineRule="auto"/>
    </w:pPr>
    <w:rPr>
      <w:rFonts w:ascii="Times New Roman" w:eastAsia="Times New Roman" w:hAnsi="Times New Roman" w:cs="Times New Roman"/>
      <w:sz w:val="24"/>
      <w:szCs w:val="24"/>
      <w:lang w:val="ro-RO" w:eastAsia="ro-RO"/>
    </w:rPr>
  </w:style>
  <w:style w:type="paragraph" w:styleId="ListParagraph">
    <w:name w:val="List Paragraph"/>
    <w:basedOn w:val="Normal"/>
    <w:qFormat/>
    <w:rsid w:val="002D168D"/>
    <w:pPr>
      <w:spacing w:after="0" w:line="240" w:lineRule="auto"/>
      <w:ind w:left="720"/>
      <w:textAlignment w:val="baseline"/>
    </w:pPr>
    <w:rPr>
      <w:rFonts w:ascii="Verdana" w:eastAsia="Times New Roman" w:hAnsi="Verdana" w:cs="Times New Roman"/>
      <w:sz w:val="20"/>
      <w:szCs w:val="20"/>
    </w:rPr>
  </w:style>
  <w:style w:type="paragraph" w:customStyle="1" w:styleId="ecl-page-header-standardiseddescription">
    <w:name w:val="ecl-page-header-standardised__description"/>
    <w:basedOn w:val="Normal"/>
    <w:qFormat/>
    <w:rsid w:val="00047195"/>
    <w:pPr>
      <w:spacing w:beforeAutospacing="1" w:afterAutospacing="1" w:line="240" w:lineRule="auto"/>
    </w:pPr>
    <w:rPr>
      <w:rFonts w:ascii="Times New Roman" w:eastAsia="Times New Roman" w:hAnsi="Times New Roman" w:cs="Times New Roman"/>
      <w:sz w:val="24"/>
      <w:szCs w:val="24"/>
      <w:lang w:val="ro-RO" w:eastAsia="ro-RO"/>
    </w:rPr>
  </w:style>
  <w:style w:type="paragraph" w:customStyle="1" w:styleId="15Times12">
    <w:name w:val="1.5 Times 12"/>
    <w:basedOn w:val="NoSpacing"/>
    <w:qFormat/>
    <w:rsid w:val="0009208D"/>
    <w:pPr>
      <w:spacing w:line="360" w:lineRule="auto"/>
      <w:jc w:val="both"/>
    </w:pPr>
    <w:rPr>
      <w:rFonts w:ascii="Times New Roman" w:eastAsia="Times New Roman" w:hAnsi="Times New Roman" w:cs="Times New Roman"/>
      <w:sz w:val="24"/>
      <w:szCs w:val="24"/>
      <w:lang w:val="ro-RO"/>
    </w:rPr>
  </w:style>
  <w:style w:type="paragraph" w:styleId="NoSpacing">
    <w:name w:val="No Spacing"/>
    <w:uiPriority w:val="1"/>
    <w:qFormat/>
    <w:rsid w:val="0009208D"/>
  </w:style>
  <w:style w:type="paragraph" w:customStyle="1" w:styleId="HeaderandFooter">
    <w:name w:val="Header and Footer"/>
    <w:basedOn w:val="Normal"/>
    <w:qFormat/>
  </w:style>
  <w:style w:type="paragraph" w:styleId="Footer">
    <w:name w:val="footer"/>
    <w:basedOn w:val="Normal"/>
    <w:link w:val="FooterChar"/>
    <w:rsid w:val="0009208D"/>
    <w:pPr>
      <w:tabs>
        <w:tab w:val="center" w:pos="4320"/>
        <w:tab w:val="right" w:pos="8640"/>
      </w:tabs>
      <w:spacing w:after="0" w:line="240" w:lineRule="auto"/>
    </w:pPr>
    <w:rPr>
      <w:rFonts w:ascii="Times New Roman" w:eastAsia="Calibri" w:hAnsi="Times New Roman" w:cs="Times New Roman"/>
      <w:sz w:val="20"/>
      <w:szCs w:val="20"/>
      <w:lang w:val="x-none" w:eastAsia="x-none"/>
    </w:rPr>
  </w:style>
  <w:style w:type="paragraph" w:styleId="BalloonText">
    <w:name w:val="Balloon Text"/>
    <w:basedOn w:val="Normal"/>
    <w:link w:val="BalloonTextChar"/>
    <w:uiPriority w:val="99"/>
    <w:semiHidden/>
    <w:unhideWhenUsed/>
    <w:qFormat/>
    <w:rsid w:val="00280AA8"/>
    <w:pPr>
      <w:spacing w:after="0" w:line="240" w:lineRule="auto"/>
    </w:pPr>
    <w:rPr>
      <w:rFonts w:ascii="Tahoma" w:hAnsi="Tahoma" w:cs="Tahoma"/>
      <w:sz w:val="16"/>
      <w:szCs w:val="16"/>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ho.int/publications-detail-redirect/9789240018341" TargetMode="External"/><Relationship Id="rId18" Type="http://schemas.openxmlformats.org/officeDocument/2006/relationships/hyperlink" Target="https://www.helsenorge.no/kosthold-og-ernaring/kostrad/spis-grove-kornprodukter" TargetMode="External"/><Relationship Id="rId26" Type="http://schemas.openxmlformats.org/officeDocument/2006/relationships/hyperlink" Target="https://www.thelancet.com/journals/lancet/article/PIIS0140-6736(20)30925-9/fulltext"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heart.org/en/healthy-living/healthy-eating/eat-smart/nutrition-basics/whole-grains-refined-grains-and-dietary-fiber" TargetMode="External"/><Relationship Id="rId34" Type="http://schemas.openxmlformats.org/officeDocument/2006/relationships/chart" Target="charts/chart1.xm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who.int/publications-detail-redirect/9789240035263" TargetMode="External"/><Relationship Id="rId17" Type="http://schemas.openxmlformats.org/officeDocument/2006/relationships/hyperlink" Target="http://www.fao.org/3/az907e/az907e.pdf" TargetMode="External"/><Relationship Id="rId25" Type="http://schemas.openxmlformats.org/officeDocument/2006/relationships/hyperlink" Target="http://www.globaldietarydatabase.org/how-many-surveys-do-we-have.html" TargetMode="External"/><Relationship Id="rId33" Type="http://schemas.openxmlformats.org/officeDocument/2006/relationships/image" Target="media/image8.png"/><Relationship Id="rId38" Type="http://schemas.openxmlformats.org/officeDocument/2006/relationships/footer" Target="footer1.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knowledge4policy.ec.europa.eu/health-promotion-knowledge-gateway/topic/food-based-dietary-guidelines-europe_en" TargetMode="External"/><Relationship Id="rId20" Type="http://schemas.openxmlformats.org/officeDocument/2006/relationships/hyperlink" Target="https://www.karger.com/Article/Pdf/335326" TargetMode="External"/><Relationship Id="rId29" Type="http://schemas.openxmlformats.org/officeDocument/2006/relationships/image" Target="media/image4.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ho.int/publications/m/item/the-state-of-food-security-and-nutrition-in-the-world-2022" TargetMode="External"/><Relationship Id="rId24" Type="http://schemas.openxmlformats.org/officeDocument/2006/relationships/hyperlink" Target="http://norden.diva-portal.org/smash/get/diva2:704251/FULLTEXT01.pdf" TargetMode="External"/><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hyperlink" Target="https://www.hsph.harvard.edu/nutritionsource/food-features/rice/" TargetMode="External"/><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http://www.fao.org/3/az907e/az907e.pdf" TargetMode="External"/><Relationship Id="rId23" Type="http://schemas.openxmlformats.org/officeDocument/2006/relationships/hyperlink" Target="https://health.gov/dietaryguidelines/2015-scientific-report/pdfs/scientific-report-of-the-2015-dietary-guidelines-advisory-committee.pdf" TargetMode="External"/><Relationship Id="rId28" Type="http://schemas.openxmlformats.org/officeDocument/2006/relationships/image" Target="media/image3.png"/><Relationship Id="rId36"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s://altomkost.dk/materialer/publikation/pub/hent-fil/publication/de-officielle-kostraad/" TargetMode="External"/><Relationship Id="rId31" Type="http://schemas.openxmlformats.org/officeDocument/2006/relationships/image" Target="media/image6.png"/><Relationship Id="rId44"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ur-lex.europa.eu/legal-content/EN/ALL/?uri=celex%3A32013R1308" TargetMode="External"/><Relationship Id="rId22" Type="http://schemas.openxmlformats.org/officeDocument/2006/relationships/hyperlink" Target="https://health.gov/sites/default/files/2019-09/2015-2020_Dietary_Guidelines.pdf" TargetMode="External"/><Relationship Id="rId27" Type="http://schemas.openxmlformats.org/officeDocument/2006/relationships/hyperlink" Target="https://ec.europa.eu/jrc/en/node/178274/" TargetMode="External"/><Relationship Id="rId30" Type="http://schemas.openxmlformats.org/officeDocument/2006/relationships/image" Target="media/image5.png"/><Relationship Id="rId35" Type="http://schemas.openxmlformats.org/officeDocument/2006/relationships/chart" Target="charts/chart2.xml"/><Relationship Id="rId43" Type="http://schemas.openxmlformats.org/officeDocument/2006/relationships/image" Target="media/image14.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17556700" TargetMode="External"/><Relationship Id="rId3" Type="http://schemas.openxmlformats.org/officeDocument/2006/relationships/hyperlink" Target="https://knowledge4policy.ec.europa.eu/health-promotion-knowledge-gateway_en" TargetMode="External"/><Relationship Id="rId7" Type="http://schemas.openxmlformats.org/officeDocument/2006/relationships/hyperlink" Target="http://www.ncbi.nlm.nih.gov/pubmed/25559238" TargetMode="External"/><Relationship Id="rId2" Type="http://schemas.openxmlformats.org/officeDocument/2006/relationships/hyperlink" Target="https://www.who.int/news-room/fact-sheets/detail/healthy-diet" TargetMode="External"/><Relationship Id="rId1" Type="http://schemas.openxmlformats.org/officeDocument/2006/relationships/hyperlink" Target="https://www.who.int/news/item/15-07-2022-the-untapped-potential-of-healthy-public-food-procurement-and-service-policies-to-support-the-repurposing-of-food-and-agricultural-policies-for-delivery-of-affordable-healthy-diets" TargetMode="External"/><Relationship Id="rId6" Type="http://schemas.openxmlformats.org/officeDocument/2006/relationships/hyperlink" Target="https://vizhub.healthdata.org/gbd-results?params=gbd-api-2019-permalink/b3683c4e6699bb68f2914a333985240a" TargetMode="External"/><Relationship Id="rId11" Type="http://schemas.openxmlformats.org/officeDocument/2006/relationships/hyperlink" Target="http://www.ncbi.nlm.nih.gov/pubmed/17490973" TargetMode="External"/><Relationship Id="rId5" Type="http://schemas.openxmlformats.org/officeDocument/2006/relationships/hyperlink" Target="https://vizhub.healthdata.org/gbd-results?params=gbd-api-2019-permalink/da8a0ca714d31b899dbe74342b927fab" TargetMode="External"/><Relationship Id="rId10" Type="http://schemas.openxmlformats.org/officeDocument/2006/relationships/hyperlink" Target="http://www.ncbi.nlm.nih.gov/pubmed/9589426" TargetMode="External"/><Relationship Id="rId4" Type="http://schemas.openxmlformats.org/officeDocument/2006/relationships/hyperlink" Target="https://knowledge4policy.ec.europa.eu/health-promotion-knowledge-gateway/whole-grain-5_en?etrans=ro" TargetMode="External"/><Relationship Id="rId9" Type="http://schemas.openxmlformats.org/officeDocument/2006/relationships/hyperlink" Target="http://www.ncbi.nlm.nih.gov/pubmed/27301975"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c:style val="2"/>
  <c:chart>
    <c:autoTitleDeleted val="1"/>
    <c:plotArea>
      <c:layout/>
      <c:lineChart>
        <c:grouping val="standard"/>
        <c:varyColors val="0"/>
        <c:ser>
          <c:idx val="0"/>
          <c:order val="0"/>
          <c:tx>
            <c:strRef>
              <c:f>label 0</c:f>
              <c:strCache>
                <c:ptCount val="1"/>
                <c:pt idx="0">
                  <c:v>Boli cerebro-vasculare</c:v>
                </c:pt>
              </c:strCache>
            </c:strRef>
          </c:tx>
          <c:spPr>
            <a:ln w="28440" cap="rnd">
              <a:solidFill>
                <a:srgbClr val="4472C4"/>
              </a:solidFill>
              <a:round/>
            </a:ln>
          </c:spPr>
          <c:marker>
            <c:symbol val="none"/>
          </c:marker>
          <c:dLbls>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0</c:f>
              <c:numCache>
                <c:formatCode>General</c:formatCode>
                <c:ptCount val="10"/>
                <c:pt idx="0">
                  <c:v>211.98445396836399</c:v>
                </c:pt>
                <c:pt idx="1">
                  <c:v>211.59845396800699</c:v>
                </c:pt>
                <c:pt idx="2">
                  <c:v>206.75005452854401</c:v>
                </c:pt>
                <c:pt idx="3">
                  <c:v>200.56745081666901</c:v>
                </c:pt>
                <c:pt idx="4">
                  <c:v>199.274068229617</c:v>
                </c:pt>
                <c:pt idx="5">
                  <c:v>193.04147229508499</c:v>
                </c:pt>
                <c:pt idx="6">
                  <c:v>192.50491456185199</c:v>
                </c:pt>
                <c:pt idx="7">
                  <c:v>191.8</c:v>
                </c:pt>
                <c:pt idx="8">
                  <c:v>174.304967727627</c:v>
                </c:pt>
                <c:pt idx="9">
                  <c:v>185.70009881152899</c:v>
                </c:pt>
              </c:numCache>
            </c:numRef>
          </c:val>
          <c:smooth val="0"/>
        </c:ser>
        <c:ser>
          <c:idx val="1"/>
          <c:order val="1"/>
          <c:tx>
            <c:strRef>
              <c:f>label 1</c:f>
              <c:strCache>
                <c:ptCount val="1"/>
                <c:pt idx="0">
                  <c:v>Hipertensiune arterială</c:v>
                </c:pt>
              </c:strCache>
            </c:strRef>
          </c:tx>
          <c:spPr>
            <a:ln w="28440" cap="rnd">
              <a:solidFill>
                <a:srgbClr val="ED7D31"/>
              </a:solidFill>
              <a:round/>
            </a:ln>
          </c:spPr>
          <c:marker>
            <c:symbol val="none"/>
          </c:marker>
          <c:dLbls>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1</c:f>
              <c:numCache>
                <c:formatCode>General</c:formatCode>
                <c:ptCount val="10"/>
                <c:pt idx="0">
                  <c:v>121.519097895261</c:v>
                </c:pt>
                <c:pt idx="1">
                  <c:v>127.145663988244</c:v>
                </c:pt>
                <c:pt idx="2">
                  <c:v>122.250378345578</c:v>
                </c:pt>
                <c:pt idx="3">
                  <c:v>128.94326523235901</c:v>
                </c:pt>
                <c:pt idx="4">
                  <c:v>137.98554741386599</c:v>
                </c:pt>
                <c:pt idx="5">
                  <c:v>130.998688350012</c:v>
                </c:pt>
                <c:pt idx="6">
                  <c:v>135.59910623136199</c:v>
                </c:pt>
                <c:pt idx="7">
                  <c:v>130</c:v>
                </c:pt>
                <c:pt idx="8">
                  <c:v>133.33311705170701</c:v>
                </c:pt>
                <c:pt idx="9">
                  <c:v>168.18599347588301</c:v>
                </c:pt>
              </c:numCache>
            </c:numRef>
          </c:val>
          <c:smooth val="0"/>
        </c:ser>
        <c:ser>
          <c:idx val="2"/>
          <c:order val="2"/>
          <c:tx>
            <c:strRef>
              <c:f>label 2</c:f>
              <c:strCache>
                <c:ptCount val="1"/>
                <c:pt idx="0">
                  <c:v>Infarctul acut al miocardului</c:v>
                </c:pt>
              </c:strCache>
            </c:strRef>
          </c:tx>
          <c:spPr>
            <a:ln w="28440" cap="rnd">
              <a:solidFill>
                <a:srgbClr val="A5A5A5"/>
              </a:solidFill>
              <a:round/>
            </a:ln>
          </c:spPr>
          <c:marker>
            <c:symbol val="none"/>
          </c:marker>
          <c:dLbls>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2</c:f>
              <c:numCache>
                <c:formatCode>General</c:formatCode>
                <c:ptCount val="10"/>
                <c:pt idx="0">
                  <c:v>88.353220383089706</c:v>
                </c:pt>
                <c:pt idx="1">
                  <c:v>86.903478795180703</c:v>
                </c:pt>
                <c:pt idx="2">
                  <c:v>85.939757464372903</c:v>
                </c:pt>
                <c:pt idx="3">
                  <c:v>87.539176483302697</c:v>
                </c:pt>
                <c:pt idx="4">
                  <c:v>91.378631408798697</c:v>
                </c:pt>
                <c:pt idx="5">
                  <c:v>84.395806082206505</c:v>
                </c:pt>
                <c:pt idx="6">
                  <c:v>83.751992029586305</c:v>
                </c:pt>
                <c:pt idx="7">
                  <c:v>83.9</c:v>
                </c:pt>
                <c:pt idx="8">
                  <c:v>84.849985711895002</c:v>
                </c:pt>
                <c:pt idx="9">
                  <c:v>90.880954530483095</c:v>
                </c:pt>
              </c:numCache>
            </c:numRef>
          </c:val>
          <c:smooth val="0"/>
        </c:ser>
        <c:ser>
          <c:idx val="3"/>
          <c:order val="3"/>
          <c:tx>
            <c:strRef>
              <c:f>label 3</c:f>
              <c:strCache>
                <c:ptCount val="1"/>
                <c:pt idx="0">
                  <c:v>Alte cardiopatii ischemice</c:v>
                </c:pt>
              </c:strCache>
            </c:strRef>
          </c:tx>
          <c:spPr>
            <a:ln w="28440" cap="rnd">
              <a:solidFill>
                <a:srgbClr val="FFC000"/>
              </a:solidFill>
              <a:round/>
            </a:ln>
          </c:spPr>
          <c:marker>
            <c:symbol val="none"/>
          </c:marker>
          <c:dLbls>
            <c:txPr>
              <a:bodyPr wrap="non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3</c:f>
              <c:numCache>
                <c:formatCode>General</c:formatCode>
                <c:ptCount val="10"/>
                <c:pt idx="0">
                  <c:v>138.30032787119001</c:v>
                </c:pt>
                <c:pt idx="1">
                  <c:v>142.84078580064701</c:v>
                </c:pt>
                <c:pt idx="2">
                  <c:v>136.57963432579501</c:v>
                </c:pt>
                <c:pt idx="3">
                  <c:v>139.929945340145</c:v>
                </c:pt>
                <c:pt idx="4">
                  <c:v>145.546214927926</c:v>
                </c:pt>
                <c:pt idx="5">
                  <c:v>139.48052079979499</c:v>
                </c:pt>
                <c:pt idx="6">
                  <c:v>140.93233803076299</c:v>
                </c:pt>
                <c:pt idx="7">
                  <c:v>140.80000000000001</c:v>
                </c:pt>
                <c:pt idx="8">
                  <c:v>139.56022555650401</c:v>
                </c:pt>
                <c:pt idx="9">
                  <c:v>160.300581429457</c:v>
                </c:pt>
              </c:numCache>
            </c:numRef>
          </c:val>
          <c:smooth val="0"/>
        </c:ser>
        <c:dLbls>
          <c:showLegendKey val="0"/>
          <c:showVal val="0"/>
          <c:showCatName val="0"/>
          <c:showSerName val="0"/>
          <c:showPercent val="0"/>
          <c:showBubbleSize val="0"/>
        </c:dLbls>
        <c:hiLowLines>
          <c:spPr>
            <a:ln w="0">
              <a:noFill/>
            </a:ln>
          </c:spPr>
        </c:hiLowLines>
        <c:marker val="1"/>
        <c:smooth val="0"/>
        <c:axId val="309805056"/>
        <c:axId val="309806592"/>
      </c:lineChart>
      <c:catAx>
        <c:axId val="30980505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en-US"/>
          </a:p>
        </c:txPr>
        <c:crossAx val="309806592"/>
        <c:crosses val="autoZero"/>
        <c:auto val="1"/>
        <c:lblAlgn val="ctr"/>
        <c:lblOffset val="100"/>
        <c:noMultiLvlLbl val="0"/>
      </c:catAx>
      <c:valAx>
        <c:axId val="309806592"/>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en-US"/>
          </a:p>
        </c:txPr>
        <c:crossAx val="30980505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0"/>
  <c:style val="2"/>
  <c:chart>
    <c:autoTitleDeleted val="1"/>
    <c:view3D>
      <c:rotX val="15"/>
      <c:rotY val="20"/>
      <c:rAngAx val="1"/>
    </c:view3D>
    <c:floor>
      <c:thickness val="0"/>
      <c:spPr>
        <a:noFill/>
        <a:ln w="6480">
          <a:solidFill>
            <a:srgbClr val="8B8B8B"/>
          </a:solidFill>
          <a:round/>
        </a:ln>
      </c:spPr>
    </c:floor>
    <c:sideWall>
      <c:thickness val="0"/>
      <c:spPr>
        <a:noFill/>
        <a:ln w="6480">
          <a:solidFill>
            <a:srgbClr val="8B8B8B"/>
          </a:solidFill>
          <a:round/>
        </a:ln>
      </c:spPr>
    </c:sideWall>
    <c:backWall>
      <c:thickness val="0"/>
      <c:spPr>
        <a:noFill/>
        <a:ln w="6480">
          <a:solidFill>
            <a:srgbClr val="8B8B8B"/>
          </a:solidFill>
          <a:round/>
        </a:ln>
      </c:spPr>
    </c:backWall>
    <c:plotArea>
      <c:layout/>
      <c:bar3DChart>
        <c:barDir val="bar"/>
        <c:grouping val="clustered"/>
        <c:varyColors val="0"/>
        <c:ser>
          <c:idx val="0"/>
          <c:order val="0"/>
          <c:tx>
            <c:strRef>
              <c:f>label 0</c:f>
              <c:strCache>
                <c:ptCount val="1"/>
                <c:pt idx="0">
                  <c:v>Decedați </c:v>
                </c:pt>
              </c:strCache>
            </c:strRef>
          </c:tx>
          <c:spPr>
            <a:solidFill>
              <a:srgbClr val="4472C4"/>
            </a:solidFill>
            <a:ln w="0">
              <a:noFill/>
            </a:ln>
          </c:spPr>
          <c:invertIfNegative val="0"/>
          <c:dLbls>
            <c:txPr>
              <a:bodyPr wrap="none"/>
              <a:lstStyle/>
              <a:p>
                <a:pPr>
                  <a:defRPr sz="1000" b="0" strike="noStrike" spc="-1">
                    <a:solidFill>
                      <a:srgbClr val="000000"/>
                    </a:solidFill>
                    <a:latin typeface="Calibri"/>
                  </a:defRPr>
                </a:pPr>
                <a:endParaRPr lang="en-US"/>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8"/>
                <c:pt idx="0">
                  <c:v>Regiunea NORD-VEST</c:v>
                </c:pt>
                <c:pt idx="1">
                  <c:v>Regiunea CENTRU</c:v>
                </c:pt>
                <c:pt idx="2">
                  <c:v>Regiunea NORD-EST</c:v>
                </c:pt>
                <c:pt idx="3">
                  <c:v>Regiunea SUD-EST</c:v>
                </c:pt>
                <c:pt idx="4">
                  <c:v>Regiunea SUD-MUNTENIA</c:v>
                </c:pt>
                <c:pt idx="5">
                  <c:v>Regiunea BUCUREȘTI - ILFOV</c:v>
                </c:pt>
                <c:pt idx="6">
                  <c:v>Regiunea SUD-VEST OLTENIA</c:v>
                </c:pt>
                <c:pt idx="7">
                  <c:v>Regiunea VEST</c:v>
                </c:pt>
              </c:strCache>
            </c:strRef>
          </c:cat>
          <c:val>
            <c:numRef>
              <c:f>0</c:f>
              <c:numCache>
                <c:formatCode>General</c:formatCode>
                <c:ptCount val="8"/>
                <c:pt idx="0">
                  <c:v>18205</c:v>
                </c:pt>
                <c:pt idx="1">
                  <c:v>15213</c:v>
                </c:pt>
                <c:pt idx="2">
                  <c:v>24839</c:v>
                </c:pt>
                <c:pt idx="3">
                  <c:v>19483</c:v>
                </c:pt>
                <c:pt idx="4">
                  <c:v>25902</c:v>
                </c:pt>
                <c:pt idx="5">
                  <c:v>15343</c:v>
                </c:pt>
                <c:pt idx="6">
                  <c:v>17539</c:v>
                </c:pt>
                <c:pt idx="7">
                  <c:v>12819</c:v>
                </c:pt>
              </c:numCache>
            </c:numRef>
          </c:val>
        </c:ser>
        <c:dLbls>
          <c:showLegendKey val="0"/>
          <c:showVal val="0"/>
          <c:showCatName val="0"/>
          <c:showSerName val="0"/>
          <c:showPercent val="0"/>
          <c:showBubbleSize val="0"/>
        </c:dLbls>
        <c:gapWidth val="150"/>
        <c:shape val="cylinder"/>
        <c:axId val="276400000"/>
        <c:axId val="276401536"/>
        <c:axId val="0"/>
      </c:bar3DChart>
      <c:catAx>
        <c:axId val="276400000"/>
        <c:scaling>
          <c:orientation val="minMax"/>
        </c:scaling>
        <c:delete val="0"/>
        <c:axPos val="l"/>
        <c:numFmt formatCode="General" sourceLinked="0"/>
        <c:majorTickMark val="out"/>
        <c:minorTickMark val="none"/>
        <c:tickLblPos val="nextTo"/>
        <c:spPr>
          <a:ln w="6480">
            <a:solidFill>
              <a:srgbClr val="8B8B8B"/>
            </a:solidFill>
            <a:round/>
          </a:ln>
        </c:spPr>
        <c:txPr>
          <a:bodyPr/>
          <a:lstStyle/>
          <a:p>
            <a:pPr>
              <a:defRPr sz="900" b="0" strike="noStrike" spc="-1">
                <a:solidFill>
                  <a:srgbClr val="000000"/>
                </a:solidFill>
                <a:latin typeface="Calibri"/>
              </a:defRPr>
            </a:pPr>
            <a:endParaRPr lang="en-US"/>
          </a:p>
        </c:txPr>
        <c:crossAx val="276401536"/>
        <c:crosses val="autoZero"/>
        <c:auto val="1"/>
        <c:lblAlgn val="ctr"/>
        <c:lblOffset val="100"/>
        <c:noMultiLvlLbl val="0"/>
      </c:catAx>
      <c:valAx>
        <c:axId val="276401536"/>
        <c:scaling>
          <c:orientation val="minMax"/>
        </c:scaling>
        <c:delete val="0"/>
        <c:axPos val="b"/>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en-US"/>
          </a:p>
        </c:txPr>
        <c:crossAx val="276400000"/>
        <c:crosses val="autoZero"/>
        <c:crossBetween val="between"/>
      </c:valAx>
    </c:plotArea>
    <c:plotVisOnly val="1"/>
    <c:dispBlanksAs val="gap"/>
    <c:showDLblsOverMax val="1"/>
  </c:chart>
  <c:spPr>
    <a:solidFill>
      <a:srgbClr val="FFFFFF"/>
    </a:solidFill>
    <a:ln w="9360">
      <a:noFill/>
    </a:ln>
  </c:spPr>
  <c:externalData r:id="rId1">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EACC4-E62B-45AA-A716-C1D7D7A3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4387</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 Filip</dc:creator>
  <cp:lastModifiedBy>DMardare</cp:lastModifiedBy>
  <cp:revision>2</cp:revision>
  <dcterms:created xsi:type="dcterms:W3CDTF">2022-10-04T08:26:00Z</dcterms:created>
  <dcterms:modified xsi:type="dcterms:W3CDTF">2022-10-04T08:26:00Z</dcterms:modified>
  <dc:language>en-US</dc:language>
</cp:coreProperties>
</file>