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8B360" w14:textId="77777777" w:rsidR="0053218B" w:rsidRPr="0053218B" w:rsidRDefault="0053218B" w:rsidP="00E27D94">
      <w:pPr>
        <w:spacing w:after="0"/>
        <w:rPr>
          <w:sz w:val="32"/>
          <w:szCs w:val="32"/>
          <w:lang w:val="en-US"/>
        </w:rPr>
      </w:pPr>
    </w:p>
    <w:p w14:paraId="08B646B7" w14:textId="77777777" w:rsidR="00776675" w:rsidRDefault="00776675" w:rsidP="003638D0">
      <w:pPr>
        <w:spacing w:after="0"/>
        <w:jc w:val="center"/>
        <w:rPr>
          <w:rFonts w:ascii="Times New Roman" w:hAnsi="Times New Roman" w:cs="Times New Roman"/>
          <w:b/>
          <w:sz w:val="40"/>
          <w:szCs w:val="40"/>
          <w:lang w:val="en-US"/>
        </w:rPr>
      </w:pPr>
    </w:p>
    <w:p w14:paraId="53C38FFA" w14:textId="77777777" w:rsidR="0053218B" w:rsidRDefault="0053218B" w:rsidP="003638D0">
      <w:pPr>
        <w:spacing w:after="0"/>
        <w:jc w:val="center"/>
        <w:rPr>
          <w:rFonts w:ascii="Times New Roman" w:hAnsi="Times New Roman" w:cs="Times New Roman"/>
          <w:b/>
          <w:sz w:val="40"/>
          <w:szCs w:val="40"/>
        </w:rPr>
      </w:pPr>
      <w:r w:rsidRPr="00493C8D">
        <w:rPr>
          <w:rFonts w:ascii="Times New Roman" w:hAnsi="Times New Roman" w:cs="Times New Roman"/>
          <w:b/>
          <w:sz w:val="40"/>
          <w:szCs w:val="40"/>
          <w:lang w:val="fr-FR"/>
        </w:rPr>
        <w:t>ANALIZ</w:t>
      </w:r>
      <w:r w:rsidR="00C46184" w:rsidRPr="008E5517">
        <w:rPr>
          <w:rFonts w:ascii="Times New Roman" w:hAnsi="Times New Roman" w:cs="Times New Roman"/>
          <w:b/>
          <w:sz w:val="40"/>
          <w:szCs w:val="40"/>
        </w:rPr>
        <w:t>A</w:t>
      </w:r>
      <w:r w:rsidRPr="008E5517">
        <w:rPr>
          <w:rFonts w:ascii="Times New Roman" w:hAnsi="Times New Roman" w:cs="Times New Roman"/>
          <w:b/>
          <w:sz w:val="40"/>
          <w:szCs w:val="40"/>
        </w:rPr>
        <w:t xml:space="preserve"> DE SITUAȚIE</w:t>
      </w:r>
    </w:p>
    <w:p w14:paraId="10775E30" w14:textId="77777777" w:rsidR="00A53C75" w:rsidRPr="003638D0" w:rsidRDefault="00A53C75" w:rsidP="003638D0">
      <w:pPr>
        <w:spacing w:after="0"/>
        <w:jc w:val="center"/>
        <w:rPr>
          <w:rFonts w:ascii="Times New Roman" w:hAnsi="Times New Roman" w:cs="Times New Roman"/>
          <w:b/>
          <w:sz w:val="40"/>
          <w:szCs w:val="40"/>
        </w:rPr>
      </w:pPr>
    </w:p>
    <w:p w14:paraId="4E650E49" w14:textId="77777777" w:rsidR="0053218B" w:rsidRPr="008E5517" w:rsidRDefault="008E5517" w:rsidP="00E27D94">
      <w:pPr>
        <w:spacing w:after="0"/>
        <w:jc w:val="center"/>
        <w:rPr>
          <w:rFonts w:ascii="Times New Roman" w:hAnsi="Times New Roman" w:cs="Times New Roman"/>
          <w:b/>
          <w:sz w:val="28"/>
          <w:szCs w:val="28"/>
        </w:rPr>
      </w:pPr>
      <w:r w:rsidRPr="008E5517">
        <w:rPr>
          <w:rFonts w:ascii="Times New Roman" w:hAnsi="Times New Roman" w:cs="Times New Roman"/>
          <w:b/>
          <w:sz w:val="28"/>
          <w:szCs w:val="28"/>
        </w:rPr>
        <w:t>Ziua Mon</w:t>
      </w:r>
      <w:r w:rsidR="0053218B" w:rsidRPr="008E5517">
        <w:rPr>
          <w:rFonts w:ascii="Times New Roman" w:hAnsi="Times New Roman" w:cs="Times New Roman"/>
          <w:b/>
          <w:sz w:val="28"/>
          <w:szCs w:val="28"/>
        </w:rPr>
        <w:t xml:space="preserve">dială a Sănătății </w:t>
      </w:r>
      <w:r w:rsidRPr="008E5517">
        <w:rPr>
          <w:rFonts w:ascii="Times New Roman" w:hAnsi="Times New Roman" w:cs="Times New Roman"/>
          <w:b/>
          <w:sz w:val="28"/>
          <w:szCs w:val="28"/>
        </w:rPr>
        <w:t xml:space="preserve">- </w:t>
      </w:r>
      <w:r w:rsidR="0068419B">
        <w:rPr>
          <w:rFonts w:ascii="Times New Roman" w:hAnsi="Times New Roman" w:cs="Times New Roman"/>
          <w:b/>
          <w:sz w:val="28"/>
          <w:szCs w:val="28"/>
        </w:rPr>
        <w:t>7 Aprilie 2019</w:t>
      </w:r>
    </w:p>
    <w:p w14:paraId="15E1DEDD" w14:textId="77777777" w:rsidR="0068419B" w:rsidRDefault="00A44E51" w:rsidP="00E27D9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Acoperirea universală </w:t>
      </w:r>
      <w:r w:rsidR="0068419B">
        <w:rPr>
          <w:rFonts w:ascii="Times New Roman" w:hAnsi="Times New Roman" w:cs="Times New Roman"/>
          <w:b/>
          <w:sz w:val="28"/>
          <w:szCs w:val="28"/>
        </w:rPr>
        <w:t>cu servicii de sănătate preventive</w:t>
      </w:r>
    </w:p>
    <w:p w14:paraId="152F7DAF" w14:textId="77777777" w:rsidR="00DC0099" w:rsidRDefault="00DC0099" w:rsidP="00E27D94">
      <w:pPr>
        <w:spacing w:after="0"/>
        <w:jc w:val="center"/>
        <w:rPr>
          <w:rFonts w:ascii="Times New Roman" w:hAnsi="Times New Roman" w:cs="Times New Roman"/>
          <w:b/>
          <w:color w:val="00B050"/>
          <w:sz w:val="28"/>
          <w:szCs w:val="28"/>
        </w:rPr>
      </w:pPr>
    </w:p>
    <w:p w14:paraId="59F55B4B" w14:textId="77777777" w:rsidR="00CD6936" w:rsidRPr="00FC7469" w:rsidRDefault="00FC7469" w:rsidP="00E27D94">
      <w:pPr>
        <w:spacing w:after="0"/>
        <w:jc w:val="center"/>
        <w:rPr>
          <w:rFonts w:ascii="Times New Roman" w:hAnsi="Times New Roman" w:cs="Times New Roman"/>
          <w:b/>
          <w:color w:val="00B050"/>
          <w:sz w:val="28"/>
          <w:szCs w:val="28"/>
        </w:rPr>
      </w:pPr>
      <w:r w:rsidRPr="00FC7469">
        <w:rPr>
          <w:rFonts w:ascii="Times New Roman" w:hAnsi="Times New Roman" w:cs="Times New Roman"/>
          <w:b/>
          <w:color w:val="00B050"/>
          <w:sz w:val="28"/>
          <w:szCs w:val="28"/>
        </w:rPr>
        <w:t>”Prin prevenție, sănătate pentru toți!</w:t>
      </w:r>
      <w:r w:rsidR="0068419B" w:rsidRPr="00FC7469">
        <w:rPr>
          <w:rFonts w:ascii="Times New Roman" w:hAnsi="Times New Roman" w:cs="Times New Roman"/>
          <w:b/>
          <w:color w:val="00B050"/>
          <w:sz w:val="28"/>
          <w:szCs w:val="28"/>
        </w:rPr>
        <w:t>”</w:t>
      </w:r>
    </w:p>
    <w:p w14:paraId="34BC3958" w14:textId="77777777" w:rsidR="00A44E51" w:rsidRDefault="00A44E51" w:rsidP="00E27D94">
      <w:pPr>
        <w:spacing w:after="0"/>
        <w:jc w:val="center"/>
        <w:rPr>
          <w:rFonts w:ascii="Times New Roman" w:hAnsi="Times New Roman" w:cs="Times New Roman"/>
          <w:b/>
          <w:sz w:val="28"/>
          <w:szCs w:val="28"/>
        </w:rPr>
      </w:pPr>
    </w:p>
    <w:p w14:paraId="33F0AA6E" w14:textId="77777777" w:rsidR="00AF336D" w:rsidRPr="00C06AEE" w:rsidRDefault="00AF336D" w:rsidP="00E27D94">
      <w:pPr>
        <w:pStyle w:val="ListParagraph"/>
        <w:numPr>
          <w:ilvl w:val="0"/>
          <w:numId w:val="3"/>
        </w:numPr>
        <w:spacing w:after="0"/>
        <w:rPr>
          <w:rFonts w:ascii="Times New Roman" w:hAnsi="Times New Roman" w:cs="Times New Roman"/>
          <w:b/>
          <w:sz w:val="28"/>
          <w:szCs w:val="28"/>
        </w:rPr>
      </w:pPr>
      <w:r w:rsidRPr="00C06AEE">
        <w:rPr>
          <w:rFonts w:ascii="Times New Roman" w:hAnsi="Times New Roman" w:cs="Times New Roman"/>
          <w:b/>
          <w:sz w:val="28"/>
          <w:szCs w:val="28"/>
        </w:rPr>
        <w:t>Context</w:t>
      </w:r>
    </w:p>
    <w:p w14:paraId="32C7000C" w14:textId="77777777" w:rsidR="00EF386F" w:rsidRDefault="00EF386F" w:rsidP="00F50698">
      <w:pPr>
        <w:pStyle w:val="ListParagraph"/>
        <w:spacing w:after="0"/>
        <w:ind w:left="0"/>
        <w:jc w:val="both"/>
        <w:rPr>
          <w:rFonts w:ascii="Times New Roman" w:hAnsi="Times New Roman" w:cs="Times New Roman"/>
          <w:sz w:val="24"/>
          <w:szCs w:val="24"/>
        </w:rPr>
      </w:pPr>
    </w:p>
    <w:p w14:paraId="1759AE25" w14:textId="77777777" w:rsidR="0083678F" w:rsidRPr="00302AEF" w:rsidRDefault="00DE1E1F" w:rsidP="00F50698">
      <w:pPr>
        <w:pStyle w:val="ListParagraph"/>
        <w:spacing w:after="0"/>
        <w:ind w:left="0"/>
        <w:jc w:val="both"/>
        <w:rPr>
          <w:rFonts w:ascii="Times New Roman" w:hAnsi="Times New Roman" w:cs="Times New Roman"/>
        </w:rPr>
      </w:pPr>
      <w:r w:rsidRPr="00302AEF">
        <w:rPr>
          <w:rFonts w:ascii="Times New Roman" w:hAnsi="Times New Roman" w:cs="Times New Roman"/>
        </w:rPr>
        <w:t>Sărbătorită pentru prima dată în anul 1950, ca modalitate de celebrare</w:t>
      </w:r>
      <w:r w:rsidR="00F50698" w:rsidRPr="00302AEF">
        <w:rPr>
          <w:rFonts w:ascii="Times New Roman" w:hAnsi="Times New Roman" w:cs="Times New Roman"/>
        </w:rPr>
        <w:t xml:space="preserve"> </w:t>
      </w:r>
      <w:r w:rsidRPr="00302AEF">
        <w:rPr>
          <w:rFonts w:ascii="Times New Roman" w:hAnsi="Times New Roman" w:cs="Times New Roman"/>
        </w:rPr>
        <w:t>a</w:t>
      </w:r>
      <w:r w:rsidR="00F50698" w:rsidRPr="00302AEF">
        <w:rPr>
          <w:rFonts w:ascii="Times New Roman" w:hAnsi="Times New Roman" w:cs="Times New Roman"/>
        </w:rPr>
        <w:t xml:space="preserve"> înființării (în anul 1948) a Organizației Mondiale a Sănătății (OMS),</w:t>
      </w:r>
      <w:r w:rsidRPr="00302AEF">
        <w:rPr>
          <w:rFonts w:ascii="Times New Roman" w:hAnsi="Times New Roman" w:cs="Times New Roman"/>
        </w:rPr>
        <w:t xml:space="preserve"> Ziua Mondial</w:t>
      </w:r>
      <w:r w:rsidR="00F50698" w:rsidRPr="00302AEF">
        <w:rPr>
          <w:rFonts w:ascii="Times New Roman" w:hAnsi="Times New Roman" w:cs="Times New Roman"/>
        </w:rPr>
        <w:t>ă a Sănătății (ZMS) se organizează anual</w:t>
      </w:r>
      <w:r w:rsidR="0083678F" w:rsidRPr="00302AEF">
        <w:rPr>
          <w:rFonts w:ascii="Times New Roman" w:hAnsi="Times New Roman" w:cs="Times New Roman"/>
        </w:rPr>
        <w:t>,</w:t>
      </w:r>
      <w:r w:rsidR="00DD2884" w:rsidRPr="00302AEF">
        <w:rPr>
          <w:rFonts w:ascii="Times New Roman" w:hAnsi="Times New Roman" w:cs="Times New Roman"/>
        </w:rPr>
        <w:t xml:space="preserve"> în data de 7 aprilie</w:t>
      </w:r>
      <w:r w:rsidR="0083678F" w:rsidRPr="00302AEF">
        <w:rPr>
          <w:rFonts w:ascii="Times New Roman" w:hAnsi="Times New Roman" w:cs="Times New Roman"/>
        </w:rPr>
        <w:t>,</w:t>
      </w:r>
      <w:r w:rsidR="00F50698" w:rsidRPr="00302AEF">
        <w:rPr>
          <w:rFonts w:ascii="Times New Roman" w:hAnsi="Times New Roman" w:cs="Times New Roman"/>
        </w:rPr>
        <w:t xml:space="preserve"> la nivelul țărilor membre ale OMS</w:t>
      </w:r>
      <w:r w:rsidR="00EF386F" w:rsidRPr="00302AEF">
        <w:rPr>
          <w:rFonts w:ascii="Times New Roman" w:hAnsi="Times New Roman" w:cs="Times New Roman"/>
        </w:rPr>
        <w:t xml:space="preserve">. </w:t>
      </w:r>
    </w:p>
    <w:p w14:paraId="667A767D" w14:textId="77777777" w:rsidR="00DE1E1F" w:rsidRPr="00302AEF" w:rsidRDefault="00EF386F" w:rsidP="00F50698">
      <w:pPr>
        <w:pStyle w:val="ListParagraph"/>
        <w:spacing w:after="0"/>
        <w:ind w:left="0"/>
        <w:jc w:val="both"/>
        <w:rPr>
          <w:rFonts w:ascii="Times New Roman" w:hAnsi="Times New Roman" w:cs="Times New Roman"/>
        </w:rPr>
      </w:pPr>
      <w:r w:rsidRPr="00302AEF">
        <w:rPr>
          <w:rFonts w:ascii="Times New Roman" w:hAnsi="Times New Roman" w:cs="Times New Roman"/>
        </w:rPr>
        <w:t>S</w:t>
      </w:r>
      <w:r w:rsidR="00F50698" w:rsidRPr="00302AEF">
        <w:rPr>
          <w:rFonts w:ascii="Times New Roman" w:hAnsi="Times New Roman" w:cs="Times New Roman"/>
        </w:rPr>
        <w:t>copul</w:t>
      </w:r>
      <w:r w:rsidRPr="00302AEF">
        <w:rPr>
          <w:rFonts w:ascii="Times New Roman" w:hAnsi="Times New Roman" w:cs="Times New Roman"/>
        </w:rPr>
        <w:t xml:space="preserve"> acestei zile este</w:t>
      </w:r>
      <w:r w:rsidR="00F50698" w:rsidRPr="00302AEF">
        <w:rPr>
          <w:rFonts w:ascii="Times New Roman" w:hAnsi="Times New Roman" w:cs="Times New Roman"/>
        </w:rPr>
        <w:t xml:space="preserve"> de a crește </w:t>
      </w:r>
      <w:r w:rsidR="00DE1E1F" w:rsidRPr="00302AEF">
        <w:rPr>
          <w:rFonts w:ascii="Times New Roman" w:hAnsi="Times New Roman" w:cs="Times New Roman"/>
        </w:rPr>
        <w:t>nivelul de conștientizare</w:t>
      </w:r>
      <w:r w:rsidR="00F50698" w:rsidRPr="00302AEF">
        <w:rPr>
          <w:rFonts w:ascii="Times New Roman" w:hAnsi="Times New Roman" w:cs="Times New Roman"/>
        </w:rPr>
        <w:t xml:space="preserve"> la nivel global </w:t>
      </w:r>
      <w:r w:rsidR="00DE1E1F" w:rsidRPr="00302AEF">
        <w:rPr>
          <w:rFonts w:ascii="Times New Roman" w:hAnsi="Times New Roman" w:cs="Times New Roman"/>
        </w:rPr>
        <w:t>asupra</w:t>
      </w:r>
      <w:r w:rsidR="00F50698" w:rsidRPr="00302AEF">
        <w:rPr>
          <w:rFonts w:ascii="Times New Roman" w:hAnsi="Times New Roman" w:cs="Times New Roman"/>
        </w:rPr>
        <w:t xml:space="preserve"> diferitelor probleme legate de sănătatea indivizilor și a populațiilor, de a promova comportamente benefice sănătății</w:t>
      </w:r>
      <w:r w:rsidR="0083678F" w:rsidRPr="00302AEF">
        <w:rPr>
          <w:rFonts w:ascii="Times New Roman" w:hAnsi="Times New Roman" w:cs="Times New Roman"/>
        </w:rPr>
        <w:t xml:space="preserve"> în rândul acestora</w:t>
      </w:r>
      <w:r w:rsidR="00F50698" w:rsidRPr="00302AEF">
        <w:rPr>
          <w:rFonts w:ascii="Times New Roman" w:hAnsi="Times New Roman" w:cs="Times New Roman"/>
        </w:rPr>
        <w:t xml:space="preserve"> și de a direcționa atenția</w:t>
      </w:r>
      <w:r w:rsidRPr="00302AEF">
        <w:rPr>
          <w:rFonts w:ascii="Times New Roman" w:hAnsi="Times New Roman" w:cs="Times New Roman"/>
        </w:rPr>
        <w:t xml:space="preserve"> și eforturile</w:t>
      </w:r>
      <w:r w:rsidR="00F50698" w:rsidRPr="00302AEF">
        <w:rPr>
          <w:rFonts w:ascii="Times New Roman" w:hAnsi="Times New Roman" w:cs="Times New Roman"/>
        </w:rPr>
        <w:t xml:space="preserve"> </w:t>
      </w:r>
      <w:r w:rsidR="00BC7A05">
        <w:rPr>
          <w:rFonts w:ascii="Times New Roman" w:hAnsi="Times New Roman" w:cs="Times New Roman"/>
        </w:rPr>
        <w:t xml:space="preserve">decienților </w:t>
      </w:r>
      <w:r w:rsidRPr="00302AEF">
        <w:rPr>
          <w:rFonts w:ascii="Times New Roman" w:hAnsi="Times New Roman" w:cs="Times New Roman"/>
        </w:rPr>
        <w:t>din statele membre</w:t>
      </w:r>
      <w:r w:rsidR="00F50698" w:rsidRPr="00302AEF">
        <w:rPr>
          <w:rFonts w:ascii="Times New Roman" w:hAnsi="Times New Roman" w:cs="Times New Roman"/>
        </w:rPr>
        <w:t xml:space="preserve"> asupra celor mai</w:t>
      </w:r>
      <w:r w:rsidRPr="00302AEF">
        <w:rPr>
          <w:rFonts w:ascii="Times New Roman" w:hAnsi="Times New Roman" w:cs="Times New Roman"/>
        </w:rPr>
        <w:t xml:space="preserve"> importante provocări cu care se confruntă sistemele de sănătate în încercarea de a oferi servicii de </w:t>
      </w:r>
      <w:r w:rsidR="00776675" w:rsidRPr="00302AEF">
        <w:rPr>
          <w:rFonts w:ascii="Times New Roman" w:hAnsi="Times New Roman" w:cs="Times New Roman"/>
        </w:rPr>
        <w:t xml:space="preserve">sănătate de </w:t>
      </w:r>
      <w:r w:rsidRPr="00302AEF">
        <w:rPr>
          <w:rFonts w:ascii="Times New Roman" w:hAnsi="Times New Roman" w:cs="Times New Roman"/>
        </w:rPr>
        <w:t>calitate</w:t>
      </w:r>
      <w:r w:rsidR="00776675" w:rsidRPr="00302AEF">
        <w:rPr>
          <w:rFonts w:ascii="Times New Roman" w:hAnsi="Times New Roman" w:cs="Times New Roman"/>
        </w:rPr>
        <w:t>, în mod echitabil, pentru</w:t>
      </w:r>
      <w:r w:rsidRPr="00302AEF">
        <w:rPr>
          <w:rFonts w:ascii="Times New Roman" w:hAnsi="Times New Roman" w:cs="Times New Roman"/>
        </w:rPr>
        <w:t xml:space="preserve"> toți  cetățenii. </w:t>
      </w:r>
    </w:p>
    <w:p w14:paraId="03208A55" w14:textId="77777777" w:rsidR="00EF386F" w:rsidRPr="00302AEF" w:rsidRDefault="00EF386F" w:rsidP="00F50698">
      <w:pPr>
        <w:pStyle w:val="ListParagraph"/>
        <w:spacing w:after="0"/>
        <w:ind w:left="0"/>
        <w:jc w:val="both"/>
        <w:rPr>
          <w:rFonts w:ascii="Times New Roman" w:hAnsi="Times New Roman" w:cs="Times New Roman"/>
        </w:rPr>
      </w:pPr>
      <w:r w:rsidRPr="00302AEF">
        <w:rPr>
          <w:rFonts w:ascii="Times New Roman" w:hAnsi="Times New Roman" w:cs="Times New Roman"/>
        </w:rPr>
        <w:t xml:space="preserve">Tema </w:t>
      </w:r>
      <w:r w:rsidR="00DD2884" w:rsidRPr="00302AEF">
        <w:rPr>
          <w:rFonts w:ascii="Times New Roman" w:hAnsi="Times New Roman" w:cs="Times New Roman"/>
        </w:rPr>
        <w:t>aleasă</w:t>
      </w:r>
      <w:r w:rsidRPr="00302AEF">
        <w:rPr>
          <w:rFonts w:ascii="Times New Roman" w:hAnsi="Times New Roman" w:cs="Times New Roman"/>
        </w:rPr>
        <w:t xml:space="preserve"> de către OMS pentru celebrarea ZMS în anul 2018 precum și în acest an, 2019</w:t>
      </w:r>
      <w:r w:rsidR="00DD2884" w:rsidRPr="00302AEF">
        <w:rPr>
          <w:rFonts w:ascii="Times New Roman" w:hAnsi="Times New Roman" w:cs="Times New Roman"/>
        </w:rPr>
        <w:t>,</w:t>
      </w:r>
      <w:r w:rsidRPr="00302AEF">
        <w:rPr>
          <w:rFonts w:ascii="Times New Roman" w:hAnsi="Times New Roman" w:cs="Times New Roman"/>
        </w:rPr>
        <w:t xml:space="preserve"> este </w:t>
      </w:r>
      <w:r w:rsidRPr="00302AEF">
        <w:rPr>
          <w:rFonts w:ascii="Times New Roman" w:hAnsi="Times New Roman" w:cs="Times New Roman"/>
          <w:b/>
        </w:rPr>
        <w:t>acoperirea universală cu servicii de sănătate</w:t>
      </w:r>
      <w:r w:rsidRPr="00302AEF">
        <w:rPr>
          <w:rFonts w:ascii="Times New Roman" w:hAnsi="Times New Roman" w:cs="Times New Roman"/>
        </w:rPr>
        <w:t xml:space="preserve"> (</w:t>
      </w:r>
      <w:r w:rsidR="008D44B6" w:rsidRPr="00302AEF">
        <w:rPr>
          <w:rFonts w:ascii="Times New Roman" w:hAnsi="Times New Roman" w:cs="Times New Roman"/>
        </w:rPr>
        <w:t xml:space="preserve">En. </w:t>
      </w:r>
      <w:r w:rsidRPr="00302AEF">
        <w:rPr>
          <w:rFonts w:ascii="Times New Roman" w:hAnsi="Times New Roman" w:cs="Times New Roman"/>
        </w:rPr>
        <w:t xml:space="preserve">Universal Health Coverage – </w:t>
      </w:r>
      <w:r w:rsidRPr="00302AEF">
        <w:rPr>
          <w:rFonts w:ascii="Times New Roman" w:hAnsi="Times New Roman" w:cs="Times New Roman"/>
          <w:b/>
        </w:rPr>
        <w:t>UHC</w:t>
      </w:r>
      <w:r w:rsidRPr="00302AEF">
        <w:rPr>
          <w:rFonts w:ascii="Times New Roman" w:hAnsi="Times New Roman" w:cs="Times New Roman"/>
        </w:rPr>
        <w:t>)</w:t>
      </w:r>
      <w:r w:rsidR="00DD2884" w:rsidRPr="00302AEF">
        <w:rPr>
          <w:rFonts w:ascii="Times New Roman" w:hAnsi="Times New Roman" w:cs="Times New Roman"/>
        </w:rPr>
        <w:t xml:space="preserve">. </w:t>
      </w:r>
      <w:r w:rsidR="00E63EE3" w:rsidRPr="00302AEF">
        <w:rPr>
          <w:rFonts w:ascii="Times New Roman" w:hAnsi="Times New Roman" w:cs="Times New Roman"/>
        </w:rPr>
        <w:t>Acoperirea universală cu servicii de sănătate - UHC</w:t>
      </w:r>
      <w:r w:rsidR="002B6AAF" w:rsidRPr="00302AEF">
        <w:rPr>
          <w:rFonts w:ascii="Times New Roman" w:hAnsi="Times New Roman" w:cs="Times New Roman"/>
        </w:rPr>
        <w:t xml:space="preserve">, </w:t>
      </w:r>
      <w:r w:rsidR="00E63EE3" w:rsidRPr="00302AEF">
        <w:rPr>
          <w:rFonts w:ascii="Times New Roman" w:hAnsi="Times New Roman" w:cs="Times New Roman"/>
        </w:rPr>
        <w:t xml:space="preserve">concept </w:t>
      </w:r>
      <w:r w:rsidR="002B6AAF" w:rsidRPr="00302AEF">
        <w:rPr>
          <w:rFonts w:ascii="Times New Roman" w:hAnsi="Times New Roman" w:cs="Times New Roman"/>
        </w:rPr>
        <w:t xml:space="preserve">definit </w:t>
      </w:r>
      <w:r w:rsidR="00463FEE" w:rsidRPr="00302AEF">
        <w:rPr>
          <w:rFonts w:ascii="Times New Roman" w:hAnsi="Times New Roman" w:cs="Times New Roman"/>
        </w:rPr>
        <w:t>în capitolul 2</w:t>
      </w:r>
      <w:r w:rsidR="00BC7A05">
        <w:rPr>
          <w:rFonts w:ascii="Times New Roman" w:hAnsi="Times New Roman" w:cs="Times New Roman"/>
        </w:rPr>
        <w:t xml:space="preserve"> al prezentei analize</w:t>
      </w:r>
      <w:r w:rsidR="00DD2884" w:rsidRPr="00302AEF">
        <w:rPr>
          <w:rFonts w:ascii="Times New Roman" w:hAnsi="Times New Roman" w:cs="Times New Roman"/>
        </w:rPr>
        <w:t>, a fost declarat</w:t>
      </w:r>
      <w:r w:rsidR="00E63EE3" w:rsidRPr="00302AEF">
        <w:rPr>
          <w:rFonts w:ascii="Times New Roman" w:hAnsi="Times New Roman" w:cs="Times New Roman"/>
        </w:rPr>
        <w:t>ă</w:t>
      </w:r>
      <w:r w:rsidR="00DD2884" w:rsidRPr="00302AEF">
        <w:rPr>
          <w:rFonts w:ascii="Times New Roman" w:hAnsi="Times New Roman" w:cs="Times New Roman"/>
        </w:rPr>
        <w:t xml:space="preserve"> de către OMS drept obiectivul numărul unu al Organizației</w:t>
      </w:r>
      <w:r w:rsidR="00302AEF">
        <w:rPr>
          <w:rStyle w:val="FootnoteReference"/>
          <w:rFonts w:ascii="Times New Roman" w:hAnsi="Times New Roman" w:cs="Times New Roman"/>
        </w:rPr>
        <w:footnoteReference w:id="1"/>
      </w:r>
      <w:r w:rsidR="00DD2884" w:rsidRPr="00302AEF">
        <w:rPr>
          <w:rFonts w:ascii="Times New Roman" w:hAnsi="Times New Roman" w:cs="Times New Roman"/>
        </w:rPr>
        <w:t xml:space="preserve">. </w:t>
      </w:r>
      <w:r w:rsidRPr="00302AEF">
        <w:rPr>
          <w:rFonts w:ascii="Times New Roman" w:hAnsi="Times New Roman" w:cs="Times New Roman"/>
        </w:rPr>
        <w:t xml:space="preserve"> </w:t>
      </w:r>
      <w:r w:rsidR="002B6AAF" w:rsidRPr="00302AEF">
        <w:rPr>
          <w:rFonts w:ascii="Times New Roman" w:hAnsi="Times New Roman" w:cs="Times New Roman"/>
        </w:rPr>
        <w:t>Este pentru prima dată în istoria</w:t>
      </w:r>
      <w:r w:rsidR="0083678F" w:rsidRPr="00302AEF">
        <w:rPr>
          <w:rFonts w:ascii="Times New Roman" w:hAnsi="Times New Roman" w:cs="Times New Roman"/>
        </w:rPr>
        <w:t xml:space="preserve"> recentă (</w:t>
      </w:r>
      <w:r w:rsidR="00776675" w:rsidRPr="00302AEF">
        <w:rPr>
          <w:rFonts w:ascii="Times New Roman" w:hAnsi="Times New Roman" w:cs="Times New Roman"/>
        </w:rPr>
        <w:t xml:space="preserve">aproximativ </w:t>
      </w:r>
      <w:r w:rsidR="0083678F" w:rsidRPr="00302AEF">
        <w:rPr>
          <w:rFonts w:ascii="Times New Roman" w:hAnsi="Times New Roman" w:cs="Times New Roman"/>
        </w:rPr>
        <w:t xml:space="preserve">ultimii </w:t>
      </w:r>
      <w:r w:rsidR="00776675" w:rsidRPr="00302AEF">
        <w:rPr>
          <w:rFonts w:ascii="Times New Roman" w:hAnsi="Times New Roman" w:cs="Times New Roman"/>
        </w:rPr>
        <w:t>20 de ani)</w:t>
      </w:r>
      <w:r w:rsidR="002B6AAF" w:rsidRPr="00302AEF">
        <w:rPr>
          <w:rFonts w:ascii="Times New Roman" w:hAnsi="Times New Roman" w:cs="Times New Roman"/>
        </w:rPr>
        <w:t xml:space="preserve"> </w:t>
      </w:r>
      <w:r w:rsidR="00776675" w:rsidRPr="00302AEF">
        <w:rPr>
          <w:rFonts w:ascii="Times New Roman" w:hAnsi="Times New Roman" w:cs="Times New Roman"/>
        </w:rPr>
        <w:t xml:space="preserve">a </w:t>
      </w:r>
      <w:r w:rsidR="002B6AAF" w:rsidRPr="00302AEF">
        <w:rPr>
          <w:rFonts w:ascii="Times New Roman" w:hAnsi="Times New Roman" w:cs="Times New Roman"/>
        </w:rPr>
        <w:t>celebrării ZMS când aceeași temă este aleasă în doi ani consecutivi</w:t>
      </w:r>
      <w:r w:rsidR="00302AEF">
        <w:rPr>
          <w:rStyle w:val="FootnoteReference"/>
          <w:rFonts w:ascii="Times New Roman" w:hAnsi="Times New Roman" w:cs="Times New Roman"/>
        </w:rPr>
        <w:footnoteReference w:id="2"/>
      </w:r>
      <w:r w:rsidR="002B6AAF" w:rsidRPr="00302AEF">
        <w:rPr>
          <w:rFonts w:ascii="Times New Roman" w:hAnsi="Times New Roman" w:cs="Times New Roman"/>
        </w:rPr>
        <w:t>. Motivația acestei alegeri rezidă din faptul că</w:t>
      </w:r>
      <w:r w:rsidR="00CC0BCB">
        <w:rPr>
          <w:rStyle w:val="FootnoteReference"/>
          <w:rFonts w:ascii="Times New Roman" w:hAnsi="Times New Roman" w:cs="Times New Roman"/>
        </w:rPr>
        <w:footnoteReference w:id="3"/>
      </w:r>
      <w:r w:rsidR="002B6AAF" w:rsidRPr="00302AEF">
        <w:rPr>
          <w:rFonts w:ascii="Times New Roman" w:hAnsi="Times New Roman" w:cs="Times New Roman"/>
        </w:rPr>
        <w:t>:</w:t>
      </w:r>
    </w:p>
    <w:p w14:paraId="060322E0" w14:textId="77777777" w:rsidR="002B6AAF" w:rsidRPr="00302AEF" w:rsidRDefault="002B6AAF" w:rsidP="002B6AAF">
      <w:pPr>
        <w:pStyle w:val="ListParagraph"/>
        <w:numPr>
          <w:ilvl w:val="0"/>
          <w:numId w:val="15"/>
        </w:numPr>
        <w:spacing w:after="0"/>
        <w:jc w:val="both"/>
        <w:rPr>
          <w:rFonts w:ascii="Times New Roman" w:hAnsi="Times New Roman" w:cs="Times New Roman"/>
        </w:rPr>
      </w:pPr>
      <w:r w:rsidRPr="00302AEF">
        <w:rPr>
          <w:rFonts w:ascii="Times New Roman" w:hAnsi="Times New Roman" w:cs="Times New Roman"/>
        </w:rPr>
        <w:t xml:space="preserve">Cel puțin </w:t>
      </w:r>
      <w:r w:rsidRPr="00302AEF">
        <w:rPr>
          <w:rFonts w:ascii="Times New Roman" w:hAnsi="Times New Roman" w:cs="Times New Roman"/>
          <w:b/>
        </w:rPr>
        <w:t>jumătate din populația lumii</w:t>
      </w:r>
      <w:r w:rsidRPr="00302AEF">
        <w:rPr>
          <w:rFonts w:ascii="Times New Roman" w:hAnsi="Times New Roman" w:cs="Times New Roman"/>
        </w:rPr>
        <w:t xml:space="preserve"> nu este acoperită cu servicii esențiale de sănătate</w:t>
      </w:r>
    </w:p>
    <w:p w14:paraId="415DA751" w14:textId="77777777" w:rsidR="002B6AAF" w:rsidRPr="00302AEF" w:rsidRDefault="002B6AAF" w:rsidP="002B6AAF">
      <w:pPr>
        <w:pStyle w:val="ListParagraph"/>
        <w:numPr>
          <w:ilvl w:val="0"/>
          <w:numId w:val="15"/>
        </w:numPr>
        <w:spacing w:after="0"/>
        <w:jc w:val="both"/>
        <w:rPr>
          <w:rFonts w:ascii="Times New Roman" w:hAnsi="Times New Roman" w:cs="Times New Roman"/>
        </w:rPr>
      </w:pPr>
      <w:r w:rsidRPr="00302AEF">
        <w:rPr>
          <w:rFonts w:ascii="Times New Roman" w:hAnsi="Times New Roman" w:cs="Times New Roman"/>
        </w:rPr>
        <w:t xml:space="preserve">Aproximativ </w:t>
      </w:r>
      <w:r w:rsidRPr="00302AEF">
        <w:rPr>
          <w:rFonts w:ascii="Times New Roman" w:hAnsi="Times New Roman" w:cs="Times New Roman"/>
          <w:b/>
        </w:rPr>
        <w:t>100 de milioane</w:t>
      </w:r>
      <w:r w:rsidRPr="00302AEF">
        <w:rPr>
          <w:rFonts w:ascii="Times New Roman" w:hAnsi="Times New Roman" w:cs="Times New Roman"/>
        </w:rPr>
        <w:t xml:space="preserve"> de persoane sunt împinse dincolo de limita sărăciei extreme (definită ca traiul cu mai puțin de 1.9 dolari americani/zi) ca urmare a cheltuielilor cu serviciile de îngr</w:t>
      </w:r>
      <w:r w:rsidR="00302AEF">
        <w:rPr>
          <w:rFonts w:ascii="Times New Roman" w:hAnsi="Times New Roman" w:cs="Times New Roman"/>
        </w:rPr>
        <w:t>j</w:t>
      </w:r>
      <w:r w:rsidRPr="00302AEF">
        <w:rPr>
          <w:rFonts w:ascii="Times New Roman" w:hAnsi="Times New Roman" w:cs="Times New Roman"/>
        </w:rPr>
        <w:t>iri de sănătate</w:t>
      </w:r>
    </w:p>
    <w:p w14:paraId="40E8B441" w14:textId="77777777" w:rsidR="002B6AAF" w:rsidRPr="00302AEF" w:rsidRDefault="002B6AAF" w:rsidP="002B6AAF">
      <w:pPr>
        <w:pStyle w:val="ListParagraph"/>
        <w:numPr>
          <w:ilvl w:val="0"/>
          <w:numId w:val="15"/>
        </w:numPr>
        <w:spacing w:after="0"/>
        <w:jc w:val="both"/>
        <w:rPr>
          <w:rFonts w:ascii="Times New Roman" w:hAnsi="Times New Roman" w:cs="Times New Roman"/>
        </w:rPr>
      </w:pPr>
      <w:r w:rsidRPr="00302AEF">
        <w:rPr>
          <w:rFonts w:ascii="Times New Roman" w:hAnsi="Times New Roman" w:cs="Times New Roman"/>
        </w:rPr>
        <w:t xml:space="preserve">Mai mult de </w:t>
      </w:r>
      <w:r w:rsidRPr="00302AEF">
        <w:rPr>
          <w:rFonts w:ascii="Times New Roman" w:hAnsi="Times New Roman" w:cs="Times New Roman"/>
          <w:b/>
        </w:rPr>
        <w:t>800 de milioane</w:t>
      </w:r>
      <w:r w:rsidRPr="00302AEF">
        <w:rPr>
          <w:rFonts w:ascii="Times New Roman" w:hAnsi="Times New Roman" w:cs="Times New Roman"/>
        </w:rPr>
        <w:t xml:space="preserve"> de persoane (aproximativ 12% din populația</w:t>
      </w:r>
      <w:r w:rsidR="00BC7A05">
        <w:rPr>
          <w:rFonts w:ascii="Times New Roman" w:hAnsi="Times New Roman" w:cs="Times New Roman"/>
        </w:rPr>
        <w:t xml:space="preserve"> lumii) cheltuiesc</w:t>
      </w:r>
      <w:r w:rsidRPr="00302AEF">
        <w:rPr>
          <w:rFonts w:ascii="Times New Roman" w:hAnsi="Times New Roman" w:cs="Times New Roman"/>
        </w:rPr>
        <w:t xml:space="preserve"> cel puțin 10% din veniturile totale ale gospodăriei pentru plata serviciilor de îngriri de sănătate</w:t>
      </w:r>
    </w:p>
    <w:p w14:paraId="3A57F5AF" w14:textId="567D0AAF" w:rsidR="00DC0099" w:rsidRDefault="008D44B6" w:rsidP="002B6AAF">
      <w:pPr>
        <w:spacing w:after="0"/>
        <w:jc w:val="both"/>
        <w:rPr>
          <w:rFonts w:ascii="Times New Roman" w:hAnsi="Times New Roman" w:cs="Times New Roman"/>
        </w:rPr>
      </w:pPr>
      <w:r w:rsidRPr="00302AEF">
        <w:rPr>
          <w:rFonts w:ascii="Times New Roman" w:hAnsi="Times New Roman" w:cs="Times New Roman"/>
        </w:rPr>
        <w:t>De asemenea,</w:t>
      </w:r>
      <w:r w:rsidR="0083678F" w:rsidRPr="00302AEF">
        <w:rPr>
          <w:rFonts w:ascii="Times New Roman" w:hAnsi="Times New Roman" w:cs="Times New Roman"/>
        </w:rPr>
        <w:t xml:space="preserve"> un alt argument este faptul că</w:t>
      </w:r>
      <w:r w:rsidRPr="00302AEF">
        <w:rPr>
          <w:rFonts w:ascii="Times New Roman" w:hAnsi="Times New Roman" w:cs="Times New Roman"/>
        </w:rPr>
        <w:t xml:space="preserve"> statele membre al Organizației Națiunilor Unite au hotărât de comun acord atingerea, până în anul 2030, a acoperirii universale cu servicii de sănătate ca parte Obiectivelor de Dezvoltare Durabilă</w:t>
      </w:r>
      <w:r w:rsidR="00776675" w:rsidRPr="00302AEF">
        <w:rPr>
          <w:rFonts w:ascii="Times New Roman" w:hAnsi="Times New Roman" w:cs="Times New Roman"/>
        </w:rPr>
        <w:t xml:space="preserve"> (ODD)</w:t>
      </w:r>
      <w:r w:rsidRPr="00302AEF">
        <w:rPr>
          <w:rFonts w:ascii="Times New Roman" w:hAnsi="Times New Roman" w:cs="Times New Roman"/>
        </w:rPr>
        <w:t>. În acest context, OMS a decis celebrarea pentru al doilea an consecutiv al ZMS având ca temă UHC. Acest concept se baze</w:t>
      </w:r>
      <w:r w:rsidR="00413DC7">
        <w:rPr>
          <w:rFonts w:ascii="Times New Roman" w:hAnsi="Times New Roman" w:cs="Times New Roman"/>
        </w:rPr>
        <w:t>a</w:t>
      </w:r>
      <w:r w:rsidRPr="00302AEF">
        <w:rPr>
          <w:rFonts w:ascii="Times New Roman" w:hAnsi="Times New Roman" w:cs="Times New Roman"/>
        </w:rPr>
        <w:t xml:space="preserve">ză pe Constituția OMS, adoptată în anul 1948, care </w:t>
      </w:r>
      <w:r w:rsidR="00776675" w:rsidRPr="00302AEF">
        <w:rPr>
          <w:rFonts w:ascii="Times New Roman" w:hAnsi="Times New Roman" w:cs="Times New Roman"/>
        </w:rPr>
        <w:t>declară dreptul la sănătate ca drept fundamental uman și se angajează să sprijine statele membre pentru a asigura cel mai înalt nivel posibil de sănătate pentru toți cetățenii</w:t>
      </w:r>
      <w:r w:rsidR="00CC0BCB">
        <w:rPr>
          <w:rStyle w:val="FootnoteReference"/>
          <w:rFonts w:ascii="Times New Roman" w:hAnsi="Times New Roman" w:cs="Times New Roman"/>
        </w:rPr>
        <w:t>4</w:t>
      </w:r>
      <w:r w:rsidR="00776675" w:rsidRPr="00302AEF">
        <w:rPr>
          <w:rFonts w:ascii="Times New Roman" w:hAnsi="Times New Roman" w:cs="Times New Roman"/>
        </w:rPr>
        <w:t xml:space="preserve">. </w:t>
      </w:r>
    </w:p>
    <w:p w14:paraId="5B790CC5" w14:textId="77777777" w:rsidR="009E1ECB" w:rsidRPr="00DC0099" w:rsidRDefault="00DC0099" w:rsidP="00DC0099">
      <w:pPr>
        <w:rPr>
          <w:rFonts w:ascii="Times New Roman" w:hAnsi="Times New Roman" w:cs="Times New Roman"/>
        </w:rPr>
      </w:pPr>
      <w:r>
        <w:rPr>
          <w:rFonts w:ascii="Times New Roman" w:hAnsi="Times New Roman" w:cs="Times New Roman"/>
        </w:rPr>
        <w:br w:type="page"/>
      </w:r>
    </w:p>
    <w:p w14:paraId="4DEBC55F" w14:textId="77777777" w:rsidR="009E1ECB" w:rsidRDefault="00A44E51" w:rsidP="00302AEF">
      <w:pPr>
        <w:pStyle w:val="ListParagraph"/>
        <w:numPr>
          <w:ilvl w:val="0"/>
          <w:numId w:val="3"/>
        </w:num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Definiți</w:t>
      </w:r>
      <w:r w:rsidR="00AF336D">
        <w:rPr>
          <w:rFonts w:ascii="Times New Roman" w:hAnsi="Times New Roman" w:cs="Times New Roman"/>
          <w:b/>
          <w:sz w:val="28"/>
          <w:szCs w:val="28"/>
        </w:rPr>
        <w:t>i</w:t>
      </w:r>
      <w:r w:rsidR="005B5890">
        <w:rPr>
          <w:rFonts w:ascii="Times New Roman" w:hAnsi="Times New Roman" w:cs="Times New Roman"/>
          <w:b/>
          <w:sz w:val="28"/>
          <w:szCs w:val="28"/>
        </w:rPr>
        <w:t>. I</w:t>
      </w:r>
      <w:r>
        <w:rPr>
          <w:rFonts w:ascii="Times New Roman" w:hAnsi="Times New Roman" w:cs="Times New Roman"/>
          <w:b/>
          <w:sz w:val="28"/>
          <w:szCs w:val="28"/>
        </w:rPr>
        <w:t xml:space="preserve">mportanța acoperirii universale </w:t>
      </w:r>
      <w:r w:rsidR="00E87EE4">
        <w:rPr>
          <w:rFonts w:ascii="Times New Roman" w:hAnsi="Times New Roman" w:cs="Times New Roman"/>
          <w:b/>
          <w:sz w:val="28"/>
          <w:szCs w:val="28"/>
        </w:rPr>
        <w:t xml:space="preserve">cu servicii </w:t>
      </w:r>
      <w:r>
        <w:rPr>
          <w:rFonts w:ascii="Times New Roman" w:hAnsi="Times New Roman" w:cs="Times New Roman"/>
          <w:b/>
          <w:sz w:val="28"/>
          <w:szCs w:val="28"/>
        </w:rPr>
        <w:t>de sănătate</w:t>
      </w:r>
      <w:r w:rsidR="00BD1DA2">
        <w:rPr>
          <w:rFonts w:ascii="Times New Roman" w:hAnsi="Times New Roman" w:cs="Times New Roman"/>
          <w:b/>
          <w:sz w:val="28"/>
          <w:szCs w:val="28"/>
        </w:rPr>
        <w:t xml:space="preserve"> preventive</w:t>
      </w:r>
    </w:p>
    <w:p w14:paraId="68FFA540" w14:textId="77777777" w:rsidR="00DC0099" w:rsidRPr="00302AEF" w:rsidRDefault="00DC0099" w:rsidP="00DC0099">
      <w:pPr>
        <w:pStyle w:val="ListParagraph"/>
        <w:spacing w:after="0"/>
        <w:ind w:left="360"/>
        <w:jc w:val="both"/>
        <w:rPr>
          <w:rFonts w:ascii="Times New Roman" w:hAnsi="Times New Roman" w:cs="Times New Roman"/>
          <w:b/>
          <w:sz w:val="28"/>
          <w:szCs w:val="28"/>
        </w:rPr>
      </w:pPr>
    </w:p>
    <w:p w14:paraId="32737CFD" w14:textId="77777777" w:rsidR="00733D21" w:rsidRPr="009E1ECB" w:rsidRDefault="0068419B" w:rsidP="009E1ECB">
      <w:pPr>
        <w:pStyle w:val="ListParagraph"/>
        <w:numPr>
          <w:ilvl w:val="1"/>
          <w:numId w:val="3"/>
        </w:numPr>
        <w:spacing w:after="0"/>
        <w:jc w:val="both"/>
        <w:rPr>
          <w:rFonts w:ascii="Times New Roman" w:hAnsi="Times New Roman" w:cs="Times New Roman"/>
          <w:b/>
          <w:sz w:val="28"/>
          <w:szCs w:val="28"/>
        </w:rPr>
      </w:pPr>
      <w:r w:rsidRPr="009E1ECB">
        <w:rPr>
          <w:rFonts w:ascii="Times New Roman" w:hAnsi="Times New Roman" w:cs="Times New Roman"/>
          <w:b/>
          <w:sz w:val="24"/>
          <w:szCs w:val="24"/>
        </w:rPr>
        <w:t>Definiție</w:t>
      </w:r>
    </w:p>
    <w:p w14:paraId="138ECF9A" w14:textId="77777777" w:rsidR="004C1E30" w:rsidRPr="00302AEF" w:rsidRDefault="00B54543" w:rsidP="00E27D94">
      <w:pPr>
        <w:pStyle w:val="ListParagraph"/>
        <w:spacing w:after="0"/>
        <w:ind w:left="0"/>
        <w:jc w:val="both"/>
        <w:rPr>
          <w:rFonts w:ascii="Times New Roman" w:hAnsi="Times New Roman" w:cs="Times New Roman"/>
        </w:rPr>
      </w:pPr>
      <w:r w:rsidRPr="00302AEF">
        <w:rPr>
          <w:rFonts w:ascii="Times New Roman" w:hAnsi="Times New Roman" w:cs="Times New Roman"/>
        </w:rPr>
        <w:t>Conform Organizației Mondiale a Sănătății</w:t>
      </w:r>
      <w:r w:rsidR="0068419B" w:rsidRPr="00302AEF">
        <w:rPr>
          <w:rFonts w:ascii="Times New Roman" w:hAnsi="Times New Roman" w:cs="Times New Roman"/>
        </w:rPr>
        <w:t xml:space="preserve"> (OMS)</w:t>
      </w:r>
      <w:r w:rsidRPr="00302AEF">
        <w:rPr>
          <w:rFonts w:ascii="Times New Roman" w:hAnsi="Times New Roman" w:cs="Times New Roman"/>
        </w:rPr>
        <w:t>,</w:t>
      </w:r>
      <w:r w:rsidR="00992F93" w:rsidRPr="00302AEF">
        <w:rPr>
          <w:rFonts w:ascii="Times New Roman" w:hAnsi="Times New Roman" w:cs="Times New Roman"/>
        </w:rPr>
        <w:t xml:space="preserve"> prin</w:t>
      </w:r>
      <w:r w:rsidR="00FC4A33" w:rsidRPr="00302AEF">
        <w:rPr>
          <w:rFonts w:ascii="Times New Roman" w:hAnsi="Times New Roman" w:cs="Times New Roman"/>
        </w:rPr>
        <w:t xml:space="preserve"> </w:t>
      </w:r>
      <w:r w:rsidR="0068419B" w:rsidRPr="00302AEF">
        <w:rPr>
          <w:rFonts w:ascii="Times New Roman" w:hAnsi="Times New Roman" w:cs="Times New Roman"/>
        </w:rPr>
        <w:t>ac</w:t>
      </w:r>
      <w:r w:rsidR="00992F93" w:rsidRPr="00302AEF">
        <w:rPr>
          <w:rFonts w:ascii="Times New Roman" w:hAnsi="Times New Roman" w:cs="Times New Roman"/>
        </w:rPr>
        <w:t xml:space="preserve">operirea universală </w:t>
      </w:r>
      <w:r w:rsidR="00A36583" w:rsidRPr="00302AEF">
        <w:rPr>
          <w:rFonts w:ascii="Times New Roman" w:hAnsi="Times New Roman" w:cs="Times New Roman"/>
        </w:rPr>
        <w:t xml:space="preserve">cu servicii </w:t>
      </w:r>
      <w:r w:rsidR="00992F93" w:rsidRPr="00302AEF">
        <w:rPr>
          <w:rFonts w:ascii="Times New Roman" w:hAnsi="Times New Roman" w:cs="Times New Roman"/>
        </w:rPr>
        <w:t>de sănătate</w:t>
      </w:r>
      <w:r w:rsidR="00CD2822" w:rsidRPr="00302AEF">
        <w:rPr>
          <w:rFonts w:ascii="Times New Roman" w:hAnsi="Times New Roman" w:cs="Times New Roman"/>
        </w:rPr>
        <w:t xml:space="preserve"> -</w:t>
      </w:r>
      <w:r w:rsidR="00992F93" w:rsidRPr="00302AEF">
        <w:rPr>
          <w:rFonts w:ascii="Times New Roman" w:hAnsi="Times New Roman" w:cs="Times New Roman"/>
        </w:rPr>
        <w:t xml:space="preserve"> (En. Universal H</w:t>
      </w:r>
      <w:r w:rsidRPr="00302AEF">
        <w:rPr>
          <w:rFonts w:ascii="Times New Roman" w:hAnsi="Times New Roman" w:cs="Times New Roman"/>
        </w:rPr>
        <w:t xml:space="preserve">ealth </w:t>
      </w:r>
      <w:r w:rsidR="00992F93" w:rsidRPr="00302AEF">
        <w:rPr>
          <w:rFonts w:ascii="Times New Roman" w:hAnsi="Times New Roman" w:cs="Times New Roman"/>
        </w:rPr>
        <w:t>C</w:t>
      </w:r>
      <w:r w:rsidRPr="00302AEF">
        <w:rPr>
          <w:rFonts w:ascii="Times New Roman" w:hAnsi="Times New Roman" w:cs="Times New Roman"/>
        </w:rPr>
        <w:t>overage</w:t>
      </w:r>
      <w:r w:rsidR="00992F93" w:rsidRPr="00302AEF">
        <w:rPr>
          <w:rFonts w:ascii="Times New Roman" w:hAnsi="Times New Roman" w:cs="Times New Roman"/>
        </w:rPr>
        <w:t xml:space="preserve"> – </w:t>
      </w:r>
      <w:r w:rsidR="00992F93" w:rsidRPr="00302AEF">
        <w:rPr>
          <w:rFonts w:ascii="Times New Roman" w:hAnsi="Times New Roman" w:cs="Times New Roman"/>
          <w:b/>
        </w:rPr>
        <w:t>UHC</w:t>
      </w:r>
      <w:r w:rsidR="00992F93" w:rsidRPr="00302AEF">
        <w:rPr>
          <w:rFonts w:ascii="Times New Roman" w:hAnsi="Times New Roman" w:cs="Times New Roman"/>
        </w:rPr>
        <w:t>) se înțelege asigurarea accesului tuturor persoanelor la servicii de p</w:t>
      </w:r>
      <w:r w:rsidR="00F52349" w:rsidRPr="00302AEF">
        <w:rPr>
          <w:rFonts w:ascii="Times New Roman" w:hAnsi="Times New Roman" w:cs="Times New Roman"/>
        </w:rPr>
        <w:t xml:space="preserve">romovare a sănătății, </w:t>
      </w:r>
      <w:r w:rsidR="000426CC" w:rsidRPr="00302AEF">
        <w:rPr>
          <w:rFonts w:ascii="Times New Roman" w:hAnsi="Times New Roman" w:cs="Times New Roman"/>
        </w:rPr>
        <w:t>de prevenire a</w:t>
      </w:r>
      <w:r w:rsidR="00992F93" w:rsidRPr="00302AEF">
        <w:rPr>
          <w:rFonts w:ascii="Times New Roman" w:hAnsi="Times New Roman" w:cs="Times New Roman"/>
        </w:rPr>
        <w:t xml:space="preserve"> î</w:t>
      </w:r>
      <w:r w:rsidR="000426CC" w:rsidRPr="00302AEF">
        <w:rPr>
          <w:rFonts w:ascii="Times New Roman" w:hAnsi="Times New Roman" w:cs="Times New Roman"/>
        </w:rPr>
        <w:t>mbolnăv</w:t>
      </w:r>
      <w:r w:rsidR="00992F93" w:rsidRPr="00302AEF">
        <w:rPr>
          <w:rFonts w:ascii="Times New Roman" w:hAnsi="Times New Roman" w:cs="Times New Roman"/>
        </w:rPr>
        <w:t>i</w:t>
      </w:r>
      <w:r w:rsidR="000426CC" w:rsidRPr="00302AEF">
        <w:rPr>
          <w:rFonts w:ascii="Times New Roman" w:hAnsi="Times New Roman" w:cs="Times New Roman"/>
        </w:rPr>
        <w:t>ri</w:t>
      </w:r>
      <w:r w:rsidR="00992F93" w:rsidRPr="00302AEF">
        <w:rPr>
          <w:rFonts w:ascii="Times New Roman" w:hAnsi="Times New Roman" w:cs="Times New Roman"/>
        </w:rPr>
        <w:t>lor</w:t>
      </w:r>
      <w:r w:rsidR="000A2787" w:rsidRPr="00302AEF">
        <w:rPr>
          <w:rFonts w:ascii="Times New Roman" w:hAnsi="Times New Roman" w:cs="Times New Roman"/>
        </w:rPr>
        <w:t xml:space="preserve">, curative, </w:t>
      </w:r>
      <w:r w:rsidR="00142C2F" w:rsidRPr="00302AEF">
        <w:rPr>
          <w:rFonts w:ascii="Times New Roman" w:hAnsi="Times New Roman" w:cs="Times New Roman"/>
        </w:rPr>
        <w:t>de recuper</w:t>
      </w:r>
      <w:r w:rsidR="00992F93" w:rsidRPr="00302AEF">
        <w:rPr>
          <w:rFonts w:ascii="Times New Roman" w:hAnsi="Times New Roman" w:cs="Times New Roman"/>
        </w:rPr>
        <w:t>are</w:t>
      </w:r>
      <w:r w:rsidR="000A2787" w:rsidRPr="00302AEF">
        <w:rPr>
          <w:rFonts w:ascii="Times New Roman" w:hAnsi="Times New Roman" w:cs="Times New Roman"/>
        </w:rPr>
        <w:t xml:space="preserve"> și paliative </w:t>
      </w:r>
      <w:r w:rsidR="00992F93" w:rsidRPr="00302AEF">
        <w:rPr>
          <w:rFonts w:ascii="Times New Roman" w:hAnsi="Times New Roman" w:cs="Times New Roman"/>
        </w:rPr>
        <w:t>de o calitate suficientă astfel încât să fie eficiente, menținând în același timp o povară financiară cât mai scăzută în</w:t>
      </w:r>
      <w:r w:rsidR="002F361A" w:rsidRPr="00302AEF">
        <w:rPr>
          <w:rFonts w:ascii="Times New Roman" w:hAnsi="Times New Roman" w:cs="Times New Roman"/>
        </w:rPr>
        <w:t xml:space="preserve"> rândul populației în</w:t>
      </w:r>
      <w:r w:rsidR="00992F93" w:rsidRPr="00302AEF">
        <w:rPr>
          <w:rFonts w:ascii="Times New Roman" w:hAnsi="Times New Roman" w:cs="Times New Roman"/>
        </w:rPr>
        <w:t xml:space="preserve"> urma accesării acestor servicii</w:t>
      </w:r>
      <w:r w:rsidR="00C22E8E" w:rsidRPr="00302AEF">
        <w:rPr>
          <w:rStyle w:val="FootnoteReference"/>
          <w:rFonts w:ascii="Times New Roman" w:hAnsi="Times New Roman" w:cs="Times New Roman"/>
        </w:rPr>
        <w:footnoteReference w:id="4"/>
      </w:r>
      <w:r w:rsidR="00992F93" w:rsidRPr="00302AEF">
        <w:rPr>
          <w:rFonts w:ascii="Times New Roman" w:hAnsi="Times New Roman" w:cs="Times New Roman"/>
        </w:rPr>
        <w:t xml:space="preserve">.  </w:t>
      </w:r>
    </w:p>
    <w:p w14:paraId="040996D9" w14:textId="77777777" w:rsidR="004C1E30" w:rsidRPr="00302AEF" w:rsidRDefault="000A2787" w:rsidP="00E27D94">
      <w:pPr>
        <w:spacing w:after="0"/>
        <w:jc w:val="both"/>
        <w:rPr>
          <w:rFonts w:ascii="Times New Roman" w:hAnsi="Times New Roman" w:cs="Times New Roman"/>
        </w:rPr>
      </w:pPr>
      <w:r w:rsidRPr="00302AEF">
        <w:rPr>
          <w:rFonts w:ascii="Times New Roman" w:hAnsi="Times New Roman" w:cs="Times New Roman"/>
        </w:rPr>
        <w:t>Această definiție încorporează</w:t>
      </w:r>
      <w:r w:rsidR="00B06F7D" w:rsidRPr="00302AEF">
        <w:rPr>
          <w:rFonts w:ascii="Times New Roman" w:hAnsi="Times New Roman" w:cs="Times New Roman"/>
        </w:rPr>
        <w:t xml:space="preserve"> </w:t>
      </w:r>
      <w:r w:rsidR="00124BA0" w:rsidRPr="00302AEF">
        <w:rPr>
          <w:rFonts w:ascii="Times New Roman" w:hAnsi="Times New Roman" w:cs="Times New Roman"/>
          <w:b/>
        </w:rPr>
        <w:t>trei obiective principale</w:t>
      </w:r>
      <w:r w:rsidR="00460B00" w:rsidRPr="00302AEF">
        <w:rPr>
          <w:rFonts w:ascii="Times New Roman" w:hAnsi="Times New Roman" w:cs="Times New Roman"/>
        </w:rPr>
        <w:t xml:space="preserve">: </w:t>
      </w:r>
    </w:p>
    <w:p w14:paraId="7EECA9F1" w14:textId="77777777" w:rsidR="004C1E30" w:rsidRPr="00302AEF" w:rsidRDefault="00124BA0" w:rsidP="00E27D94">
      <w:pPr>
        <w:pStyle w:val="ListParagraph"/>
        <w:numPr>
          <w:ilvl w:val="0"/>
          <w:numId w:val="7"/>
        </w:numPr>
        <w:spacing w:after="0"/>
        <w:jc w:val="both"/>
        <w:rPr>
          <w:rFonts w:ascii="Times New Roman" w:hAnsi="Times New Roman" w:cs="Times New Roman"/>
        </w:rPr>
      </w:pPr>
      <w:r w:rsidRPr="00302AEF">
        <w:rPr>
          <w:rFonts w:ascii="Times New Roman" w:hAnsi="Times New Roman" w:cs="Times New Roman"/>
          <w:b/>
        </w:rPr>
        <w:t>Echitate în accesul la servicii de sănătate</w:t>
      </w:r>
      <w:r w:rsidR="000A2787" w:rsidRPr="00302AEF">
        <w:rPr>
          <w:rFonts w:ascii="Times New Roman" w:hAnsi="Times New Roman" w:cs="Times New Roman"/>
        </w:rPr>
        <w:t xml:space="preserve"> – oricine are nevoie de servicii ar trebui să le poată accesa</w:t>
      </w:r>
      <w:r w:rsidR="00460B00" w:rsidRPr="00302AEF">
        <w:rPr>
          <w:rFonts w:ascii="Times New Roman" w:hAnsi="Times New Roman" w:cs="Times New Roman"/>
        </w:rPr>
        <w:t>, nu doar cei care pot plăti;</w:t>
      </w:r>
    </w:p>
    <w:p w14:paraId="58407BB5" w14:textId="77777777" w:rsidR="004C1E30" w:rsidRPr="00302AEF" w:rsidRDefault="00124BA0" w:rsidP="00E27D94">
      <w:pPr>
        <w:pStyle w:val="ListParagraph"/>
        <w:numPr>
          <w:ilvl w:val="0"/>
          <w:numId w:val="7"/>
        </w:numPr>
        <w:spacing w:after="0"/>
        <w:jc w:val="both"/>
        <w:rPr>
          <w:rFonts w:ascii="Times New Roman" w:hAnsi="Times New Roman" w:cs="Times New Roman"/>
        </w:rPr>
      </w:pPr>
      <w:r w:rsidRPr="00302AEF">
        <w:rPr>
          <w:rFonts w:ascii="Times New Roman" w:hAnsi="Times New Roman" w:cs="Times New Roman"/>
          <w:b/>
        </w:rPr>
        <w:t>Calitatea serviciilor de sănătate</w:t>
      </w:r>
      <w:r w:rsidR="00460B00" w:rsidRPr="00302AEF">
        <w:rPr>
          <w:rFonts w:ascii="Times New Roman" w:hAnsi="Times New Roman" w:cs="Times New Roman"/>
        </w:rPr>
        <w:t xml:space="preserve"> trebuie să fie destul de ridicată astfel încât să îmbunătățească sănătatea persoanelor care beneficiază de ele;</w:t>
      </w:r>
    </w:p>
    <w:p w14:paraId="3CD6C404" w14:textId="77777777" w:rsidR="004C1E30" w:rsidRPr="00302AEF" w:rsidRDefault="00124BA0" w:rsidP="00E27D94">
      <w:pPr>
        <w:pStyle w:val="ListParagraph"/>
        <w:numPr>
          <w:ilvl w:val="0"/>
          <w:numId w:val="7"/>
        </w:numPr>
        <w:spacing w:after="0"/>
        <w:jc w:val="both"/>
        <w:rPr>
          <w:rFonts w:ascii="Times New Roman" w:hAnsi="Times New Roman" w:cs="Times New Roman"/>
        </w:rPr>
      </w:pPr>
      <w:r w:rsidRPr="00302AEF">
        <w:rPr>
          <w:rFonts w:ascii="Times New Roman" w:hAnsi="Times New Roman" w:cs="Times New Roman"/>
          <w:b/>
        </w:rPr>
        <w:t>Protejarea populației împotriva riscurilor financiare</w:t>
      </w:r>
      <w:r w:rsidR="00460B00" w:rsidRPr="00302AEF">
        <w:rPr>
          <w:rFonts w:ascii="Times New Roman" w:hAnsi="Times New Roman" w:cs="Times New Roman"/>
        </w:rPr>
        <w:t>, prin asigurarea unor servicii de sănătate cu costuri care nu reprezintă o povară sau un prejudiciu financiar</w:t>
      </w:r>
      <w:r w:rsidR="00C22E8E" w:rsidRPr="00302AEF">
        <w:rPr>
          <w:rStyle w:val="FootnoteReference"/>
          <w:rFonts w:ascii="Times New Roman" w:hAnsi="Times New Roman" w:cs="Times New Roman"/>
        </w:rPr>
        <w:footnoteReference w:id="5"/>
      </w:r>
      <w:r w:rsidR="00460B00" w:rsidRPr="00302AEF">
        <w:rPr>
          <w:rFonts w:ascii="Times New Roman" w:hAnsi="Times New Roman" w:cs="Times New Roman"/>
        </w:rPr>
        <w:t xml:space="preserve">. </w:t>
      </w:r>
    </w:p>
    <w:p w14:paraId="7EEA8832" w14:textId="77777777" w:rsidR="00173B65" w:rsidRPr="00302AEF" w:rsidRDefault="00E87EE4" w:rsidP="00173B65">
      <w:pPr>
        <w:spacing w:after="0"/>
        <w:jc w:val="both"/>
        <w:rPr>
          <w:rFonts w:ascii="Times New Roman" w:hAnsi="Times New Roman" w:cs="Times New Roman"/>
        </w:rPr>
      </w:pPr>
      <w:r w:rsidRPr="00302AEF">
        <w:rPr>
          <w:rFonts w:ascii="Times New Roman" w:hAnsi="Times New Roman" w:cs="Times New Roman"/>
        </w:rPr>
        <w:t xml:space="preserve">Acoperirea universală a populației cu servicii de sănătate </w:t>
      </w:r>
      <w:r w:rsidR="00BE6BD6" w:rsidRPr="00302AEF">
        <w:rPr>
          <w:rFonts w:ascii="Times New Roman" w:hAnsi="Times New Roman" w:cs="Times New Roman"/>
        </w:rPr>
        <w:t xml:space="preserve"> a fost </w:t>
      </w:r>
      <w:r w:rsidR="008D4670" w:rsidRPr="00302AEF">
        <w:rPr>
          <w:rFonts w:ascii="Times New Roman" w:hAnsi="Times New Roman" w:cs="Times New Roman"/>
        </w:rPr>
        <w:t>un</w:t>
      </w:r>
      <w:r w:rsidRPr="00302AEF">
        <w:rPr>
          <w:rFonts w:ascii="Times New Roman" w:hAnsi="Times New Roman" w:cs="Times New Roman"/>
        </w:rPr>
        <w:t>a</w:t>
      </w:r>
      <w:r w:rsidR="00BE6BD6" w:rsidRPr="00302AEF">
        <w:rPr>
          <w:rFonts w:ascii="Times New Roman" w:hAnsi="Times New Roman" w:cs="Times New Roman"/>
        </w:rPr>
        <w:t xml:space="preserve"> dintre</w:t>
      </w:r>
      <w:r w:rsidR="005A08AB" w:rsidRPr="00302AEF">
        <w:rPr>
          <w:rFonts w:ascii="Times New Roman" w:hAnsi="Times New Roman" w:cs="Times New Roman"/>
        </w:rPr>
        <w:t xml:space="preserve"> </w:t>
      </w:r>
      <w:r w:rsidRPr="00302AEF">
        <w:rPr>
          <w:rFonts w:ascii="Times New Roman" w:hAnsi="Times New Roman" w:cs="Times New Roman"/>
        </w:rPr>
        <w:t xml:space="preserve">prioritățile </w:t>
      </w:r>
      <w:r w:rsidR="00BE6BD6" w:rsidRPr="00302AEF">
        <w:rPr>
          <w:rFonts w:ascii="Times New Roman" w:hAnsi="Times New Roman" w:cs="Times New Roman"/>
        </w:rPr>
        <w:t xml:space="preserve"> stabilite de Organizația Națiunilor Unite în anul 2015, atunci când au fost adoptate Obiectivele de Dezvoltare Durabilă (ODD). </w:t>
      </w:r>
      <w:r w:rsidR="008D4670" w:rsidRPr="00302AEF">
        <w:rPr>
          <w:rFonts w:ascii="Times New Roman" w:hAnsi="Times New Roman" w:cs="Times New Roman"/>
        </w:rPr>
        <w:t>Astfel, î</w:t>
      </w:r>
      <w:r w:rsidR="00BE6BD6" w:rsidRPr="00302AEF">
        <w:rPr>
          <w:rFonts w:ascii="Times New Roman" w:hAnsi="Times New Roman" w:cs="Times New Roman"/>
        </w:rPr>
        <w:t>n cadrul ODD numărul 3-Sănătate și bunăstare</w:t>
      </w:r>
      <w:r w:rsidR="00CD460D" w:rsidRPr="00302AEF">
        <w:rPr>
          <w:rFonts w:ascii="Times New Roman" w:hAnsi="Times New Roman" w:cs="Times New Roman"/>
        </w:rPr>
        <w:t>,</w:t>
      </w:r>
      <w:r w:rsidR="00BE6BD6" w:rsidRPr="00302AEF">
        <w:rPr>
          <w:rFonts w:ascii="Times New Roman" w:hAnsi="Times New Roman" w:cs="Times New Roman"/>
        </w:rPr>
        <w:t xml:space="preserve"> se urmărește: asigurarea unei vieți sănătoase și promovarea bunăstării tuturor</w:t>
      </w:r>
      <w:r w:rsidR="000426CC" w:rsidRPr="00302AEF">
        <w:rPr>
          <w:rFonts w:ascii="Times New Roman" w:hAnsi="Times New Roman" w:cs="Times New Roman"/>
        </w:rPr>
        <w:t>,</w:t>
      </w:r>
      <w:r w:rsidR="00BE6BD6" w:rsidRPr="00302AEF">
        <w:rPr>
          <w:rFonts w:ascii="Times New Roman" w:hAnsi="Times New Roman" w:cs="Times New Roman"/>
        </w:rPr>
        <w:t xml:space="preserve"> la orice vârstă</w:t>
      </w:r>
      <w:r w:rsidR="00C22E8E" w:rsidRPr="00302AEF">
        <w:rPr>
          <w:rStyle w:val="FootnoteReference"/>
          <w:rFonts w:ascii="Times New Roman" w:hAnsi="Times New Roman" w:cs="Times New Roman"/>
        </w:rPr>
        <w:footnoteReference w:id="6"/>
      </w:r>
      <w:r w:rsidR="00BE6BD6" w:rsidRPr="00302AEF">
        <w:rPr>
          <w:rFonts w:ascii="Times New Roman" w:hAnsi="Times New Roman" w:cs="Times New Roman"/>
        </w:rPr>
        <w:t>.</w:t>
      </w:r>
      <w:r w:rsidR="00CD460D" w:rsidRPr="00302AEF">
        <w:rPr>
          <w:rFonts w:ascii="Times New Roman" w:hAnsi="Times New Roman" w:cs="Times New Roman"/>
        </w:rPr>
        <w:t xml:space="preserve"> Una dintre țintele specifice pentru atingerea ODD</w:t>
      </w:r>
      <w:r w:rsidR="008D4670" w:rsidRPr="00302AEF">
        <w:rPr>
          <w:rFonts w:ascii="Times New Roman" w:hAnsi="Times New Roman" w:cs="Times New Roman"/>
        </w:rPr>
        <w:t xml:space="preserve"> 3</w:t>
      </w:r>
      <w:r w:rsidR="0068419B" w:rsidRPr="00302AEF">
        <w:rPr>
          <w:rFonts w:ascii="Times New Roman" w:hAnsi="Times New Roman" w:cs="Times New Roman"/>
        </w:rPr>
        <w:t xml:space="preserve"> este a</w:t>
      </w:r>
      <w:r w:rsidR="00CD460D" w:rsidRPr="00302AEF">
        <w:rPr>
          <w:rFonts w:ascii="Times New Roman" w:hAnsi="Times New Roman" w:cs="Times New Roman"/>
        </w:rPr>
        <w:t>tingerea UHC, inclusiv protecția față de riscul financiar, accesul la servicii esențiale de sănătate de calitate și accesul la medicamente și vaccinuri sigure, eficiente, calitative și la prețuri accesibile pentru toate persoanele</w:t>
      </w:r>
      <w:r w:rsidR="003638D0" w:rsidRPr="00302AEF">
        <w:rPr>
          <w:rStyle w:val="FootnoteReference"/>
          <w:rFonts w:ascii="Times New Roman" w:hAnsi="Times New Roman" w:cs="Times New Roman"/>
        </w:rPr>
        <w:footnoteReference w:id="7"/>
      </w:r>
      <w:r w:rsidR="00CD460D" w:rsidRPr="00302AEF">
        <w:rPr>
          <w:rFonts w:ascii="Times New Roman" w:hAnsi="Times New Roman" w:cs="Times New Roman"/>
        </w:rPr>
        <w:t>. Cei doi indicatori utilizați pentru monitorizarea progresului în atingerea acestei ținte specifice sunt:</w:t>
      </w:r>
      <w:r w:rsidR="005A08AB" w:rsidRPr="00302AEF">
        <w:rPr>
          <w:rFonts w:ascii="Times New Roman" w:hAnsi="Times New Roman" w:cs="Times New Roman"/>
        </w:rPr>
        <w:t xml:space="preserve"> </w:t>
      </w:r>
      <w:r w:rsidR="00CD460D" w:rsidRPr="00302AEF">
        <w:rPr>
          <w:rFonts w:ascii="Times New Roman" w:hAnsi="Times New Roman" w:cs="Times New Roman"/>
        </w:rPr>
        <w:t xml:space="preserve">3.8.1: Nivelul de acoperire a serviciilor esențiale de sănătate și 3.8.2: Nivelul de protecție finaciară în urma utilizării serviciilor de sănătate. </w:t>
      </w:r>
      <w:r w:rsidR="009E1ECB" w:rsidRPr="00302AEF">
        <w:rPr>
          <w:rFonts w:ascii="Times New Roman" w:hAnsi="Times New Roman" w:cs="Times New Roman"/>
        </w:rPr>
        <w:t xml:space="preserve">Acești indicatori </w:t>
      </w:r>
      <w:r w:rsidR="00A14C94" w:rsidRPr="00302AEF">
        <w:rPr>
          <w:rFonts w:ascii="Times New Roman" w:hAnsi="Times New Roman" w:cs="Times New Roman"/>
        </w:rPr>
        <w:t>cuprind la rândul lor 4 sub-</w:t>
      </w:r>
      <w:r w:rsidR="009E1ECB" w:rsidRPr="00302AEF">
        <w:rPr>
          <w:rFonts w:ascii="Times New Roman" w:hAnsi="Times New Roman" w:cs="Times New Roman"/>
        </w:rPr>
        <w:t>indicatori</w:t>
      </w:r>
      <w:r w:rsidR="00A14C94" w:rsidRPr="00302AEF">
        <w:rPr>
          <w:rFonts w:ascii="Times New Roman" w:hAnsi="Times New Roman" w:cs="Times New Roman"/>
        </w:rPr>
        <w:t xml:space="preserve"> și respectiv </w:t>
      </w:r>
      <w:r w:rsidR="00A14C94" w:rsidRPr="00302AEF">
        <w:rPr>
          <w:rFonts w:ascii="Times New Roman" w:hAnsi="Times New Roman" w:cs="Times New Roman"/>
          <w:b/>
        </w:rPr>
        <w:t>16 indicatori</w:t>
      </w:r>
      <w:r w:rsidR="009E1ECB" w:rsidRPr="00302AEF">
        <w:rPr>
          <w:rFonts w:ascii="Times New Roman" w:hAnsi="Times New Roman" w:cs="Times New Roman"/>
          <w:b/>
        </w:rPr>
        <w:t xml:space="preserve"> specifici</w:t>
      </w:r>
      <w:r w:rsidR="009E1ECB" w:rsidRPr="00302AEF">
        <w:rPr>
          <w:rFonts w:ascii="Times New Roman" w:hAnsi="Times New Roman" w:cs="Times New Roman"/>
        </w:rPr>
        <w:t>, prin</w:t>
      </w:r>
      <w:r w:rsidR="00776675" w:rsidRPr="00302AEF">
        <w:rPr>
          <w:rFonts w:ascii="Times New Roman" w:hAnsi="Times New Roman" w:cs="Times New Roman"/>
        </w:rPr>
        <w:t xml:space="preserve"> intermediul cărora se poate </w:t>
      </w:r>
      <w:r w:rsidR="00776675" w:rsidRPr="00302AEF">
        <w:rPr>
          <w:rFonts w:ascii="Times New Roman" w:hAnsi="Times New Roman" w:cs="Times New Roman"/>
          <w:b/>
        </w:rPr>
        <w:t>monitoriza</w:t>
      </w:r>
      <w:r w:rsidR="00A14C94" w:rsidRPr="00302AEF">
        <w:rPr>
          <w:rFonts w:ascii="Times New Roman" w:hAnsi="Times New Roman" w:cs="Times New Roman"/>
          <w:b/>
        </w:rPr>
        <w:t xml:space="preserve"> într-o manieră obiectivă</w:t>
      </w:r>
      <w:r w:rsidR="009E1ECB" w:rsidRPr="00302AEF">
        <w:rPr>
          <w:rFonts w:ascii="Times New Roman" w:hAnsi="Times New Roman" w:cs="Times New Roman"/>
          <w:b/>
        </w:rPr>
        <w:t xml:space="preserve"> progresul înregistrat de fiecare țară în atingerea UHC</w:t>
      </w:r>
      <w:r w:rsidR="009E1ECB" w:rsidRPr="00302AEF">
        <w:rPr>
          <w:rFonts w:ascii="Times New Roman" w:hAnsi="Times New Roman" w:cs="Times New Roman"/>
        </w:rPr>
        <w:t xml:space="preserve">. </w:t>
      </w:r>
    </w:p>
    <w:p w14:paraId="056F113A" w14:textId="77777777" w:rsidR="00173B65" w:rsidRDefault="009E1ECB" w:rsidP="00173B65">
      <w:pPr>
        <w:spacing w:after="0"/>
        <w:jc w:val="both"/>
        <w:rPr>
          <w:rFonts w:ascii="Times New Roman" w:hAnsi="Times New Roman" w:cs="Times New Roman"/>
        </w:rPr>
      </w:pPr>
      <w:r w:rsidRPr="00302AEF">
        <w:rPr>
          <w:rFonts w:ascii="Times New Roman" w:hAnsi="Times New Roman" w:cs="Times New Roman"/>
        </w:rPr>
        <w:t xml:space="preserve">Progresul României, </w:t>
      </w:r>
      <w:r w:rsidR="00230B52" w:rsidRPr="00302AEF">
        <w:rPr>
          <w:rFonts w:ascii="Times New Roman" w:hAnsi="Times New Roman" w:cs="Times New Roman"/>
        </w:rPr>
        <w:t>evaluat cel mai recent în anul 2016</w:t>
      </w:r>
      <w:r w:rsidR="00173B65" w:rsidRPr="00302AEF">
        <w:rPr>
          <w:rFonts w:ascii="Times New Roman" w:hAnsi="Times New Roman" w:cs="Times New Roman"/>
        </w:rPr>
        <w:t xml:space="preserve"> pe baza celor 16 indicatori specifici</w:t>
      </w:r>
      <w:r w:rsidR="00230B52" w:rsidRPr="00302AEF">
        <w:rPr>
          <w:rFonts w:ascii="Times New Roman" w:hAnsi="Times New Roman" w:cs="Times New Roman"/>
        </w:rPr>
        <w:t xml:space="preserve"> și prezentat ca parte a analizei de situație dezvoltată pentru celebrarea ZMS 2018</w:t>
      </w:r>
      <w:r w:rsidR="00173B65" w:rsidRPr="00302AEF">
        <w:rPr>
          <w:rFonts w:ascii="Times New Roman" w:hAnsi="Times New Roman" w:cs="Times New Roman"/>
        </w:rPr>
        <w:t xml:space="preserve"> la nivel național</w:t>
      </w:r>
      <w:r w:rsidR="00230B52" w:rsidRPr="00302AEF">
        <w:rPr>
          <w:rFonts w:ascii="Times New Roman" w:hAnsi="Times New Roman" w:cs="Times New Roman"/>
        </w:rPr>
        <w:t>, poate fi observat</w:t>
      </w:r>
      <w:r w:rsidR="00173B65" w:rsidRPr="00302AEF">
        <w:rPr>
          <w:rFonts w:ascii="Times New Roman" w:hAnsi="Times New Roman" w:cs="Times New Roman"/>
        </w:rPr>
        <w:t xml:space="preserve"> accesând acest </w:t>
      </w:r>
      <w:hyperlink r:id="rId9" w:history="1">
        <w:r w:rsidR="00173B65" w:rsidRPr="00302AEF">
          <w:rPr>
            <w:rStyle w:val="Hyperlink"/>
            <w:rFonts w:ascii="Times New Roman" w:hAnsi="Times New Roman" w:cs="Times New Roman"/>
          </w:rPr>
          <w:t>link</w:t>
        </w:r>
      </w:hyperlink>
      <w:r w:rsidR="00C06AEE">
        <w:rPr>
          <w:rStyle w:val="FootnoteReference"/>
          <w:rFonts w:ascii="Times New Roman" w:hAnsi="Times New Roman" w:cs="Times New Roman"/>
          <w:color w:val="0000FF" w:themeColor="hyperlink"/>
          <w:u w:val="single"/>
        </w:rPr>
        <w:footnoteReference w:id="8"/>
      </w:r>
      <w:r w:rsidR="00173B65" w:rsidRPr="00302AEF">
        <w:rPr>
          <w:rFonts w:ascii="Times New Roman" w:hAnsi="Times New Roman" w:cs="Times New Roman"/>
        </w:rPr>
        <w:t xml:space="preserve">. </w:t>
      </w:r>
      <w:r w:rsidR="00230B52" w:rsidRPr="00302AEF">
        <w:rPr>
          <w:rFonts w:ascii="Times New Roman" w:hAnsi="Times New Roman" w:cs="Times New Roman"/>
        </w:rPr>
        <w:t xml:space="preserve"> </w:t>
      </w:r>
    </w:p>
    <w:p w14:paraId="1094C424" w14:textId="77777777" w:rsidR="00BC7A05" w:rsidRPr="00BC7A05" w:rsidRDefault="00BC7A05" w:rsidP="00BC7A05">
      <w:pPr>
        <w:spacing w:after="0"/>
        <w:jc w:val="both"/>
        <w:rPr>
          <w:rFonts w:ascii="Times New Roman" w:hAnsi="Times New Roman" w:cs="Times New Roman"/>
        </w:rPr>
      </w:pPr>
      <w:r w:rsidRPr="00BC7A05">
        <w:rPr>
          <w:rFonts w:ascii="Times New Roman" w:hAnsi="Times New Roman" w:cs="Times New Roman"/>
        </w:rPr>
        <w:t xml:space="preserve">În România, </w:t>
      </w:r>
      <w:r w:rsidRPr="00BC7A05">
        <w:rPr>
          <w:rFonts w:ascii="Times New Roman" w:hAnsi="Times New Roman" w:cs="Times New Roman"/>
          <w:b/>
        </w:rPr>
        <w:t>indicele de acoperire a serviciilor UHC (SDG 3.8.1) este de 72</w:t>
      </w:r>
      <w:r w:rsidRPr="00BC7A05">
        <w:rPr>
          <w:rFonts w:ascii="Times New Roman" w:hAnsi="Times New Roman" w:cs="Times New Roman"/>
        </w:rPr>
        <w:t xml:space="preserve">. Valoarea pragului este de 80. </w:t>
      </w:r>
    </w:p>
    <w:p w14:paraId="363544C3" w14:textId="77777777" w:rsidR="00BC7A05" w:rsidRPr="00BC7A05" w:rsidRDefault="00BC7A05" w:rsidP="00BC7A05">
      <w:pPr>
        <w:spacing w:after="0"/>
        <w:jc w:val="both"/>
        <w:rPr>
          <w:rFonts w:ascii="Times New Roman" w:hAnsi="Times New Roman" w:cs="Times New Roman"/>
        </w:rPr>
      </w:pPr>
      <w:r w:rsidRPr="00BC7A05">
        <w:rPr>
          <w:rFonts w:ascii="Times New Roman" w:hAnsi="Times New Roman" w:cs="Times New Roman"/>
        </w:rPr>
        <w:t>Definiția indicatorului: acoperirea serviciilor de sănătate esențiale (definită ca acoperirea medie a serviciilor esențiale bazate pe intervenții de urmărire care includ sănătatea reproducerii, maternă, nou-născutului și copilului, bolile infecțioase, bolile netransmisibile și capacitatea și accesul la servicii în rândul celor mai defavorizate populații).</w:t>
      </w:r>
    </w:p>
    <w:p w14:paraId="349BC2B5" w14:textId="77777777" w:rsidR="00BC7A05" w:rsidRPr="00BC7A05" w:rsidRDefault="00BC7A05" w:rsidP="00BC7A05">
      <w:pPr>
        <w:spacing w:after="0"/>
        <w:jc w:val="both"/>
        <w:rPr>
          <w:rFonts w:ascii="Times New Roman" w:hAnsi="Times New Roman" w:cs="Times New Roman"/>
          <w:b/>
        </w:rPr>
      </w:pPr>
      <w:r w:rsidRPr="00BC7A05">
        <w:rPr>
          <w:rFonts w:ascii="Times New Roman" w:hAnsi="Times New Roman" w:cs="Times New Roman"/>
          <w:b/>
        </w:rPr>
        <w:t>Proporția populației cu cheltuieli de sănătate din buzunar</w:t>
      </w:r>
    </w:p>
    <w:p w14:paraId="568979BC" w14:textId="77777777" w:rsidR="00BC7A05" w:rsidRDefault="00BC7A05" w:rsidP="00BC7A05">
      <w:pPr>
        <w:spacing w:after="0"/>
        <w:jc w:val="both"/>
        <w:rPr>
          <w:rFonts w:ascii="Times New Roman" w:hAnsi="Times New Roman" w:cs="Times New Roman"/>
        </w:rPr>
      </w:pPr>
      <w:r>
        <w:rPr>
          <w:rFonts w:ascii="Times New Roman" w:hAnsi="Times New Roman" w:cs="Times New Roman"/>
        </w:rPr>
        <w:t>În România, mai mult de 12</w:t>
      </w:r>
      <w:r w:rsidRPr="00BC7A05">
        <w:rPr>
          <w:rFonts w:ascii="Times New Roman" w:hAnsi="Times New Roman" w:cs="Times New Roman"/>
        </w:rPr>
        <w:t>%  din populație are cheltuieli de sănă</w:t>
      </w:r>
      <w:r>
        <w:rPr>
          <w:rFonts w:ascii="Times New Roman" w:hAnsi="Times New Roman" w:cs="Times New Roman"/>
        </w:rPr>
        <w:t>tate din buzunar care reprezintă</w:t>
      </w:r>
      <w:r w:rsidRPr="00BC7A05">
        <w:rPr>
          <w:rFonts w:ascii="Times New Roman" w:hAnsi="Times New Roman" w:cs="Times New Roman"/>
        </w:rPr>
        <w:t xml:space="preserve"> mai mult de 10% din bugetul gospodăriei</w:t>
      </w:r>
      <w:r>
        <w:rPr>
          <w:rFonts w:ascii="Times New Roman" w:hAnsi="Times New Roman" w:cs="Times New Roman"/>
        </w:rPr>
        <w:t>.  Mai mult de 2,3</w:t>
      </w:r>
      <w:r w:rsidRPr="00BC7A05">
        <w:rPr>
          <w:rFonts w:ascii="Times New Roman" w:hAnsi="Times New Roman" w:cs="Times New Roman"/>
        </w:rPr>
        <w:t xml:space="preserve">%  din populație are are cheltuieli de sănătate din buzunar  care reprezinta mai mult </w:t>
      </w:r>
      <w:r>
        <w:rPr>
          <w:rFonts w:ascii="Times New Roman" w:hAnsi="Times New Roman" w:cs="Times New Roman"/>
        </w:rPr>
        <w:t>de 25 % din bugetul gospodăriei.</w:t>
      </w:r>
    </w:p>
    <w:p w14:paraId="73101548" w14:textId="77777777" w:rsidR="00173B65" w:rsidRDefault="00BC7A05" w:rsidP="00173B65">
      <w:pPr>
        <w:spacing w:after="0"/>
        <w:jc w:val="both"/>
        <w:rPr>
          <w:rFonts w:ascii="Times New Roman" w:hAnsi="Times New Roman" w:cs="Times New Roman"/>
        </w:rPr>
      </w:pPr>
      <w:r w:rsidRPr="00BC7A05">
        <w:rPr>
          <w:rFonts w:ascii="Times New Roman" w:hAnsi="Times New Roman" w:cs="Times New Roman"/>
        </w:rPr>
        <w:t>Definiția indicatorului: Procentajul persoanelor care cheltuiesc din buzunar  mai mult de 10% sau 25% din bugetul gospodăriei (venituri sau cheltuieli totale) la plățile de sănătate</w:t>
      </w:r>
      <w:r>
        <w:rPr>
          <w:rFonts w:ascii="Times New Roman" w:hAnsi="Times New Roman" w:cs="Times New Roman"/>
        </w:rPr>
        <w:t xml:space="preserve">. </w:t>
      </w:r>
    </w:p>
    <w:p w14:paraId="4B0D7240" w14:textId="77777777" w:rsidR="00BC7A05" w:rsidRPr="00302AEF" w:rsidRDefault="00BC7A05" w:rsidP="00173B65">
      <w:pPr>
        <w:spacing w:after="0"/>
        <w:jc w:val="both"/>
        <w:rPr>
          <w:rFonts w:ascii="Times New Roman" w:hAnsi="Times New Roman" w:cs="Times New Roman"/>
        </w:rPr>
      </w:pPr>
    </w:p>
    <w:p w14:paraId="5DE4EE45" w14:textId="77777777" w:rsidR="008D44B6" w:rsidRPr="00C06AEE" w:rsidRDefault="00776675" w:rsidP="00173B65">
      <w:pPr>
        <w:pStyle w:val="ListParagraph"/>
        <w:numPr>
          <w:ilvl w:val="1"/>
          <w:numId w:val="3"/>
        </w:numPr>
        <w:spacing w:after="0"/>
        <w:jc w:val="both"/>
        <w:rPr>
          <w:rFonts w:ascii="Times New Roman" w:hAnsi="Times New Roman" w:cs="Times New Roman"/>
          <w:b/>
          <w:sz w:val="24"/>
          <w:szCs w:val="24"/>
        </w:rPr>
      </w:pPr>
      <w:r w:rsidRPr="00C06AEE">
        <w:rPr>
          <w:rFonts w:ascii="Times New Roman" w:hAnsi="Times New Roman" w:cs="Times New Roman"/>
          <w:b/>
          <w:sz w:val="24"/>
          <w:szCs w:val="24"/>
        </w:rPr>
        <w:lastRenderedPageBreak/>
        <w:t>C</w:t>
      </w:r>
      <w:r w:rsidR="008D44B6" w:rsidRPr="00C06AEE">
        <w:rPr>
          <w:rFonts w:ascii="Times New Roman" w:hAnsi="Times New Roman" w:cs="Times New Roman"/>
          <w:b/>
          <w:sz w:val="24"/>
          <w:szCs w:val="24"/>
        </w:rPr>
        <w:t xml:space="preserve">e </w:t>
      </w:r>
      <w:r w:rsidR="00EF283F" w:rsidRPr="00C06AEE">
        <w:rPr>
          <w:rFonts w:ascii="Times New Roman" w:hAnsi="Times New Roman" w:cs="Times New Roman"/>
          <w:b/>
          <w:sz w:val="24"/>
          <w:szCs w:val="24"/>
        </w:rPr>
        <w:t xml:space="preserve">include și ce </w:t>
      </w:r>
      <w:r w:rsidR="008D44B6" w:rsidRPr="00C06AEE">
        <w:rPr>
          <w:rFonts w:ascii="Times New Roman" w:hAnsi="Times New Roman" w:cs="Times New Roman"/>
          <w:b/>
          <w:sz w:val="24"/>
          <w:szCs w:val="24"/>
        </w:rPr>
        <w:t xml:space="preserve">nu include </w:t>
      </w:r>
      <w:r w:rsidR="00455A99" w:rsidRPr="00C06AEE">
        <w:rPr>
          <w:rFonts w:ascii="Times New Roman" w:hAnsi="Times New Roman" w:cs="Times New Roman"/>
          <w:b/>
          <w:sz w:val="24"/>
          <w:szCs w:val="24"/>
        </w:rPr>
        <w:t xml:space="preserve">conceptul </w:t>
      </w:r>
      <w:r w:rsidR="008D44B6" w:rsidRPr="00C06AEE">
        <w:rPr>
          <w:rFonts w:ascii="Times New Roman" w:hAnsi="Times New Roman" w:cs="Times New Roman"/>
          <w:b/>
          <w:sz w:val="24"/>
          <w:szCs w:val="24"/>
        </w:rPr>
        <w:t>UHC</w:t>
      </w:r>
    </w:p>
    <w:p w14:paraId="3295B1EC" w14:textId="77777777" w:rsidR="00776675" w:rsidRDefault="00EF283F" w:rsidP="00776675">
      <w:pPr>
        <w:spacing w:after="0"/>
        <w:jc w:val="both"/>
        <w:rPr>
          <w:rFonts w:ascii="Times New Roman" w:hAnsi="Times New Roman" w:cs="Times New Roman"/>
        </w:rPr>
      </w:pPr>
      <w:r w:rsidRPr="00302AEF">
        <w:rPr>
          <w:rFonts w:ascii="Times New Roman" w:hAnsi="Times New Roman" w:cs="Times New Roman"/>
        </w:rPr>
        <w:t>Deși UHC este un concept cuprinzător, menit să acopere o gamă largă de servicii de sănătate pentru întreaga populație, anumite aspecte nu sunt acoperite. Tabelul 1 prezintă aspectele incluse și cele care nu sunt incluse în conceptul de UHC</w:t>
      </w:r>
      <w:r w:rsidR="00C06AEE">
        <w:rPr>
          <w:rStyle w:val="FootnoteReference"/>
          <w:rFonts w:ascii="Times New Roman" w:hAnsi="Times New Roman" w:cs="Times New Roman"/>
        </w:rPr>
        <w:footnoteReference w:id="9"/>
      </w:r>
      <w:r w:rsidRPr="00302AEF">
        <w:rPr>
          <w:rFonts w:ascii="Times New Roman" w:hAnsi="Times New Roman" w:cs="Times New Roman"/>
        </w:rPr>
        <w:t xml:space="preserve">. </w:t>
      </w:r>
    </w:p>
    <w:p w14:paraId="6B14AEF5" w14:textId="77777777" w:rsidR="00C06AEE" w:rsidRPr="00302AEF" w:rsidRDefault="00C06AEE" w:rsidP="00776675">
      <w:pPr>
        <w:spacing w:after="0"/>
        <w:jc w:val="both"/>
        <w:rPr>
          <w:rFonts w:ascii="Times New Roman" w:hAnsi="Times New Roman" w:cs="Times New Roman"/>
        </w:rPr>
      </w:pPr>
    </w:p>
    <w:p w14:paraId="1388CBF1" w14:textId="77777777" w:rsidR="00EF283F" w:rsidRPr="00C06AEE" w:rsidRDefault="00EF283F" w:rsidP="00776675">
      <w:pPr>
        <w:spacing w:after="0"/>
        <w:jc w:val="both"/>
        <w:rPr>
          <w:rFonts w:ascii="Times New Roman" w:hAnsi="Times New Roman" w:cs="Times New Roman"/>
          <w:b/>
        </w:rPr>
      </w:pPr>
      <w:r w:rsidRPr="00C06AEE">
        <w:rPr>
          <w:rFonts w:ascii="Times New Roman" w:hAnsi="Times New Roman" w:cs="Times New Roman"/>
          <w:b/>
        </w:rPr>
        <w:t xml:space="preserve">Tabelul 1. </w:t>
      </w:r>
      <w:r w:rsidR="00E63EE3" w:rsidRPr="00C06AEE">
        <w:rPr>
          <w:rFonts w:ascii="Times New Roman" w:hAnsi="Times New Roman" w:cs="Times New Roman"/>
          <w:b/>
        </w:rPr>
        <w:t>Definirea acoperirii universale cu servicii de sănătate</w:t>
      </w:r>
    </w:p>
    <w:tbl>
      <w:tblPr>
        <w:tblStyle w:val="TableGrid"/>
        <w:tblW w:w="0" w:type="auto"/>
        <w:tblLook w:val="04A0" w:firstRow="1" w:lastRow="0" w:firstColumn="1" w:lastColumn="0" w:noHBand="0" w:noVBand="1"/>
      </w:tblPr>
      <w:tblGrid>
        <w:gridCol w:w="4644"/>
        <w:gridCol w:w="4644"/>
      </w:tblGrid>
      <w:tr w:rsidR="00EF283F" w:rsidRPr="00302AEF" w14:paraId="65C5957F" w14:textId="77777777" w:rsidTr="00EF283F">
        <w:tc>
          <w:tcPr>
            <w:tcW w:w="4644" w:type="dxa"/>
          </w:tcPr>
          <w:p w14:paraId="0204956D" w14:textId="77777777" w:rsidR="00EF283F" w:rsidRPr="00302AEF" w:rsidRDefault="00EF283F" w:rsidP="00EF283F">
            <w:pPr>
              <w:jc w:val="center"/>
              <w:rPr>
                <w:rFonts w:ascii="Times New Roman" w:hAnsi="Times New Roman" w:cs="Times New Roman"/>
                <w:b/>
              </w:rPr>
            </w:pPr>
            <w:r w:rsidRPr="00302AEF">
              <w:rPr>
                <w:rFonts w:ascii="Times New Roman" w:hAnsi="Times New Roman" w:cs="Times New Roman"/>
                <w:b/>
              </w:rPr>
              <w:t>DA</w:t>
            </w:r>
          </w:p>
        </w:tc>
        <w:tc>
          <w:tcPr>
            <w:tcW w:w="4644" w:type="dxa"/>
          </w:tcPr>
          <w:p w14:paraId="04E524E8" w14:textId="77777777" w:rsidR="00EF283F" w:rsidRPr="00302AEF" w:rsidRDefault="00EF283F" w:rsidP="00EF283F">
            <w:pPr>
              <w:jc w:val="center"/>
              <w:rPr>
                <w:rFonts w:ascii="Times New Roman" w:hAnsi="Times New Roman" w:cs="Times New Roman"/>
                <w:b/>
              </w:rPr>
            </w:pPr>
            <w:r w:rsidRPr="00302AEF">
              <w:rPr>
                <w:rFonts w:ascii="Times New Roman" w:hAnsi="Times New Roman" w:cs="Times New Roman"/>
                <w:b/>
              </w:rPr>
              <w:t>NU</w:t>
            </w:r>
          </w:p>
        </w:tc>
      </w:tr>
      <w:tr w:rsidR="00EF283F" w:rsidRPr="00302AEF" w14:paraId="4E865BFE" w14:textId="77777777" w:rsidTr="00EF283F">
        <w:tc>
          <w:tcPr>
            <w:tcW w:w="4644" w:type="dxa"/>
          </w:tcPr>
          <w:p w14:paraId="68052954" w14:textId="77777777" w:rsidR="00EF283F" w:rsidRPr="00302AEF" w:rsidRDefault="00EF283F" w:rsidP="00776675">
            <w:pPr>
              <w:jc w:val="both"/>
              <w:rPr>
                <w:rFonts w:ascii="Times New Roman" w:hAnsi="Times New Roman" w:cs="Times New Roman"/>
              </w:rPr>
            </w:pPr>
            <w:r w:rsidRPr="00302AEF">
              <w:rPr>
                <w:rFonts w:ascii="Times New Roman" w:hAnsi="Times New Roman" w:cs="Times New Roman"/>
              </w:rPr>
              <w:t xml:space="preserve">Accesul </w:t>
            </w:r>
            <w:r w:rsidRPr="00302AEF">
              <w:rPr>
                <w:rFonts w:ascii="Times New Roman" w:hAnsi="Times New Roman" w:cs="Times New Roman"/>
                <w:b/>
              </w:rPr>
              <w:t>egal</w:t>
            </w:r>
            <w:r w:rsidRPr="00302AEF">
              <w:rPr>
                <w:rFonts w:ascii="Times New Roman" w:hAnsi="Times New Roman" w:cs="Times New Roman"/>
              </w:rPr>
              <w:t xml:space="preserve"> la servicii de promovare ș</w:t>
            </w:r>
            <w:r w:rsidR="00142C2F" w:rsidRPr="00302AEF">
              <w:rPr>
                <w:rFonts w:ascii="Times New Roman" w:hAnsi="Times New Roman" w:cs="Times New Roman"/>
              </w:rPr>
              <w:t>i prevenție, tratament, recuper</w:t>
            </w:r>
            <w:r w:rsidRPr="00302AEF">
              <w:rPr>
                <w:rFonts w:ascii="Times New Roman" w:hAnsi="Times New Roman" w:cs="Times New Roman"/>
              </w:rPr>
              <w:t>are și îngrijiri paliative tuturor indivizilor și comunităților</w:t>
            </w:r>
          </w:p>
        </w:tc>
        <w:tc>
          <w:tcPr>
            <w:tcW w:w="4644" w:type="dxa"/>
          </w:tcPr>
          <w:p w14:paraId="290F6444" w14:textId="77777777" w:rsidR="00EF283F" w:rsidRPr="00302AEF" w:rsidRDefault="00455A99" w:rsidP="00776675">
            <w:pPr>
              <w:jc w:val="both"/>
              <w:rPr>
                <w:rFonts w:ascii="Times New Roman" w:hAnsi="Times New Roman" w:cs="Times New Roman"/>
              </w:rPr>
            </w:pPr>
            <w:r w:rsidRPr="00302AEF">
              <w:rPr>
                <w:rFonts w:ascii="Times New Roman" w:hAnsi="Times New Roman" w:cs="Times New Roman"/>
                <w:b/>
              </w:rPr>
              <w:t>Acces gratuit la toate intervențiile medicale</w:t>
            </w:r>
            <w:r w:rsidRPr="00302AEF">
              <w:rPr>
                <w:rFonts w:ascii="Times New Roman" w:hAnsi="Times New Roman" w:cs="Times New Roman"/>
              </w:rPr>
              <w:t xml:space="preserve"> posibile, indiferent de costurile acestora</w:t>
            </w:r>
          </w:p>
        </w:tc>
      </w:tr>
      <w:tr w:rsidR="00EF283F" w:rsidRPr="00302AEF" w14:paraId="5918056B" w14:textId="77777777" w:rsidTr="00EF283F">
        <w:tc>
          <w:tcPr>
            <w:tcW w:w="4644" w:type="dxa"/>
          </w:tcPr>
          <w:p w14:paraId="13841091" w14:textId="77777777" w:rsidR="00EF283F" w:rsidRPr="00302AEF" w:rsidRDefault="00EF283F" w:rsidP="00776675">
            <w:pPr>
              <w:jc w:val="both"/>
              <w:rPr>
                <w:rFonts w:ascii="Times New Roman" w:hAnsi="Times New Roman" w:cs="Times New Roman"/>
              </w:rPr>
            </w:pPr>
            <w:r w:rsidRPr="00302AEF">
              <w:rPr>
                <w:rFonts w:ascii="Times New Roman" w:hAnsi="Times New Roman" w:cs="Times New Roman"/>
              </w:rPr>
              <w:t xml:space="preserve">Accesul </w:t>
            </w:r>
            <w:r w:rsidRPr="00302AEF">
              <w:rPr>
                <w:rFonts w:ascii="Times New Roman" w:hAnsi="Times New Roman" w:cs="Times New Roman"/>
                <w:b/>
              </w:rPr>
              <w:t>tuturor</w:t>
            </w:r>
            <w:r w:rsidRPr="00302AEF">
              <w:rPr>
                <w:rFonts w:ascii="Times New Roman" w:hAnsi="Times New Roman" w:cs="Times New Roman"/>
              </w:rPr>
              <w:t xml:space="preserve"> indivizilor la servicii de </w:t>
            </w:r>
            <w:r w:rsidRPr="00302AEF">
              <w:rPr>
                <w:rFonts w:ascii="Times New Roman" w:hAnsi="Times New Roman" w:cs="Times New Roman"/>
                <w:b/>
              </w:rPr>
              <w:t>calitate</w:t>
            </w:r>
            <w:r w:rsidRPr="00302AEF">
              <w:rPr>
                <w:rFonts w:ascii="Times New Roman" w:hAnsi="Times New Roman" w:cs="Times New Roman"/>
              </w:rPr>
              <w:t>, care adresează cele mai importante cauze de morbiditate și mortalitate</w:t>
            </w:r>
          </w:p>
        </w:tc>
        <w:tc>
          <w:tcPr>
            <w:tcW w:w="4644" w:type="dxa"/>
          </w:tcPr>
          <w:p w14:paraId="4C7C56BA" w14:textId="77777777" w:rsidR="00EF283F" w:rsidRPr="00302AEF" w:rsidRDefault="00455A99" w:rsidP="00776675">
            <w:pPr>
              <w:jc w:val="both"/>
              <w:rPr>
                <w:rFonts w:ascii="Times New Roman" w:hAnsi="Times New Roman" w:cs="Times New Roman"/>
              </w:rPr>
            </w:pPr>
            <w:r w:rsidRPr="00302AEF">
              <w:rPr>
                <w:rFonts w:ascii="Times New Roman" w:hAnsi="Times New Roman" w:cs="Times New Roman"/>
                <w:b/>
              </w:rPr>
              <w:t>Doar asigurarea unui pachet minim de servicii de bază</w:t>
            </w:r>
            <w:r w:rsidRPr="00302AEF">
              <w:rPr>
                <w:rFonts w:ascii="Times New Roman" w:hAnsi="Times New Roman" w:cs="Times New Roman"/>
              </w:rPr>
              <w:t>, ci o acoperire progresivă și protecție financiară pe măsură ce resursele necesare devin disponibile</w:t>
            </w:r>
          </w:p>
        </w:tc>
      </w:tr>
      <w:tr w:rsidR="00EF283F" w:rsidRPr="00302AEF" w14:paraId="0D38AE92" w14:textId="77777777" w:rsidTr="00EF283F">
        <w:tc>
          <w:tcPr>
            <w:tcW w:w="4644" w:type="dxa"/>
          </w:tcPr>
          <w:p w14:paraId="0994D0A3" w14:textId="77777777" w:rsidR="00EF283F" w:rsidRPr="00302AEF" w:rsidRDefault="00EF283F" w:rsidP="00776675">
            <w:pPr>
              <w:jc w:val="both"/>
              <w:rPr>
                <w:rFonts w:ascii="Times New Roman" w:hAnsi="Times New Roman" w:cs="Times New Roman"/>
              </w:rPr>
            </w:pPr>
            <w:r w:rsidRPr="00302AEF">
              <w:rPr>
                <w:rFonts w:ascii="Times New Roman" w:hAnsi="Times New Roman" w:cs="Times New Roman"/>
              </w:rPr>
              <w:t xml:space="preserve">Protejarea indivizilor de </w:t>
            </w:r>
            <w:r w:rsidRPr="00302AEF">
              <w:rPr>
                <w:rFonts w:ascii="Times New Roman" w:hAnsi="Times New Roman" w:cs="Times New Roman"/>
                <w:b/>
              </w:rPr>
              <w:t>consecințele financiare negative</w:t>
            </w:r>
            <w:r w:rsidRPr="00302AEF">
              <w:rPr>
                <w:rFonts w:ascii="Times New Roman" w:hAnsi="Times New Roman" w:cs="Times New Roman"/>
              </w:rPr>
              <w:t xml:space="preserve"> consecutive </w:t>
            </w:r>
            <w:r w:rsidR="00455A99" w:rsidRPr="00302AEF">
              <w:rPr>
                <w:rFonts w:ascii="Times New Roman" w:hAnsi="Times New Roman" w:cs="Times New Roman"/>
              </w:rPr>
              <w:t>plății din buzunar (En. Out-of-pocket payments) a serviciilor de sănătate</w:t>
            </w:r>
          </w:p>
        </w:tc>
        <w:tc>
          <w:tcPr>
            <w:tcW w:w="4644" w:type="dxa"/>
          </w:tcPr>
          <w:p w14:paraId="2D14ACDF" w14:textId="77777777" w:rsidR="00EF283F" w:rsidRPr="00302AEF" w:rsidRDefault="00455A99" w:rsidP="00123CDC">
            <w:pPr>
              <w:jc w:val="both"/>
              <w:rPr>
                <w:rFonts w:ascii="Times New Roman" w:hAnsi="Times New Roman" w:cs="Times New Roman"/>
              </w:rPr>
            </w:pPr>
            <w:r w:rsidRPr="00302AEF">
              <w:rPr>
                <w:rFonts w:ascii="Times New Roman" w:hAnsi="Times New Roman" w:cs="Times New Roman"/>
                <w:b/>
              </w:rPr>
              <w:t>Doar servicii medicale individuale</w:t>
            </w:r>
            <w:r w:rsidR="00123CDC" w:rsidRPr="00302AEF">
              <w:rPr>
                <w:rFonts w:ascii="Times New Roman" w:hAnsi="Times New Roman" w:cs="Times New Roman"/>
              </w:rPr>
              <w:t xml:space="preserve"> ci </w:t>
            </w:r>
            <w:r w:rsidRPr="00302AEF">
              <w:rPr>
                <w:rFonts w:ascii="Times New Roman" w:hAnsi="Times New Roman" w:cs="Times New Roman"/>
              </w:rPr>
              <w:t xml:space="preserve">și servicii comunitare precum: campanii </w:t>
            </w:r>
            <w:r w:rsidR="00123CDC" w:rsidRPr="00302AEF">
              <w:rPr>
                <w:rFonts w:ascii="Times New Roman" w:hAnsi="Times New Roman" w:cs="Times New Roman"/>
              </w:rPr>
              <w:t>de promovare a sănătății, fluoridare a apei, etc.</w:t>
            </w:r>
          </w:p>
        </w:tc>
      </w:tr>
      <w:tr w:rsidR="00EF283F" w:rsidRPr="00302AEF" w14:paraId="75E4DE61" w14:textId="77777777" w:rsidTr="00EF283F">
        <w:tc>
          <w:tcPr>
            <w:tcW w:w="4644" w:type="dxa"/>
          </w:tcPr>
          <w:p w14:paraId="528DDC6C" w14:textId="77777777" w:rsidR="00EF283F" w:rsidRPr="00302AEF" w:rsidRDefault="00455A99" w:rsidP="00776675">
            <w:pPr>
              <w:jc w:val="both"/>
              <w:rPr>
                <w:rFonts w:ascii="Times New Roman" w:hAnsi="Times New Roman" w:cs="Times New Roman"/>
              </w:rPr>
            </w:pPr>
            <w:r w:rsidRPr="00302AEF">
              <w:rPr>
                <w:rFonts w:ascii="Times New Roman" w:hAnsi="Times New Roman" w:cs="Times New Roman"/>
              </w:rPr>
              <w:t xml:space="preserve">Includerea </w:t>
            </w:r>
            <w:r w:rsidRPr="00302AEF">
              <w:rPr>
                <w:rFonts w:ascii="Times New Roman" w:hAnsi="Times New Roman" w:cs="Times New Roman"/>
                <w:b/>
              </w:rPr>
              <w:t>tuturor componentelor unui sistem de sănătate</w:t>
            </w:r>
            <w:r w:rsidRPr="00302AEF">
              <w:rPr>
                <w:rFonts w:ascii="Times New Roman" w:hAnsi="Times New Roman" w:cs="Times New Roman"/>
              </w:rPr>
              <w:t>: sistemele de livrare a serviciilor, forța de muncă, prestatorii de servicii și rețelele de comunicare, tehnologia în sănătate, sistemele informatice, sistemele de asigurare a calității și guvernanța și legislația</w:t>
            </w:r>
          </w:p>
        </w:tc>
        <w:tc>
          <w:tcPr>
            <w:tcW w:w="4644" w:type="dxa"/>
          </w:tcPr>
          <w:p w14:paraId="274DFCB8" w14:textId="77777777" w:rsidR="00EF283F" w:rsidRPr="00302AEF" w:rsidRDefault="00455A99" w:rsidP="00776675">
            <w:pPr>
              <w:jc w:val="both"/>
              <w:rPr>
                <w:rFonts w:ascii="Times New Roman" w:hAnsi="Times New Roman" w:cs="Times New Roman"/>
              </w:rPr>
            </w:pPr>
            <w:r w:rsidRPr="00302AEF">
              <w:rPr>
                <w:rFonts w:ascii="Times New Roman" w:hAnsi="Times New Roman" w:cs="Times New Roman"/>
                <w:b/>
              </w:rPr>
              <w:t>Doar abordarea finanțării serviciilor de sănătate</w:t>
            </w:r>
            <w:r w:rsidR="00257B2A" w:rsidRPr="00302AEF">
              <w:rPr>
                <w:rFonts w:ascii="Times New Roman" w:hAnsi="Times New Roman" w:cs="Times New Roman"/>
              </w:rPr>
              <w:t>, ci toate celelalte componente necesare livrării unor servicii de calitate, în mod echitabil, enumerate alăturat</w:t>
            </w:r>
            <w:r w:rsidR="00F75AE1" w:rsidRPr="00302AEF">
              <w:rPr>
                <w:rFonts w:ascii="Times New Roman" w:hAnsi="Times New Roman" w:cs="Times New Roman"/>
              </w:rPr>
              <w:t xml:space="preserve"> (coloana din stânga)</w:t>
            </w:r>
            <w:r w:rsidR="00257B2A" w:rsidRPr="00302AEF">
              <w:rPr>
                <w:rFonts w:ascii="Times New Roman" w:hAnsi="Times New Roman" w:cs="Times New Roman"/>
              </w:rPr>
              <w:t xml:space="preserve">. </w:t>
            </w:r>
          </w:p>
        </w:tc>
      </w:tr>
      <w:tr w:rsidR="00EF283F" w:rsidRPr="00302AEF" w14:paraId="2C8CB7B8" w14:textId="77777777" w:rsidTr="00EF283F">
        <w:tc>
          <w:tcPr>
            <w:tcW w:w="4644" w:type="dxa"/>
          </w:tcPr>
          <w:p w14:paraId="683430A3" w14:textId="77777777" w:rsidR="00EF283F" w:rsidRPr="00302AEF" w:rsidRDefault="00123CDC" w:rsidP="00776675">
            <w:pPr>
              <w:jc w:val="both"/>
              <w:rPr>
                <w:rFonts w:ascii="Times New Roman" w:hAnsi="Times New Roman" w:cs="Times New Roman"/>
              </w:rPr>
            </w:pPr>
            <w:r w:rsidRPr="00302AEF">
              <w:rPr>
                <w:rFonts w:ascii="Times New Roman" w:hAnsi="Times New Roman" w:cs="Times New Roman"/>
                <w:b/>
              </w:rPr>
              <w:t>Atingerea ODD</w:t>
            </w:r>
            <w:r w:rsidRPr="00302AEF">
              <w:rPr>
                <w:rFonts w:ascii="Times New Roman" w:hAnsi="Times New Roman" w:cs="Times New Roman"/>
              </w:rPr>
              <w:t xml:space="preserve"> stabilite în anul 2015 la nivelul ONU</w:t>
            </w:r>
          </w:p>
        </w:tc>
        <w:tc>
          <w:tcPr>
            <w:tcW w:w="4644" w:type="dxa"/>
          </w:tcPr>
          <w:p w14:paraId="353AD1BB" w14:textId="77777777" w:rsidR="00EF283F" w:rsidRPr="00302AEF" w:rsidRDefault="00123CDC" w:rsidP="00776675">
            <w:pPr>
              <w:jc w:val="both"/>
              <w:rPr>
                <w:rFonts w:ascii="Times New Roman" w:hAnsi="Times New Roman" w:cs="Times New Roman"/>
              </w:rPr>
            </w:pPr>
            <w:r w:rsidRPr="00302AEF">
              <w:rPr>
                <w:rFonts w:ascii="Times New Roman" w:hAnsi="Times New Roman" w:cs="Times New Roman"/>
                <w:b/>
              </w:rPr>
              <w:t>Doar abodarea sănătății</w:t>
            </w:r>
            <w:r w:rsidRPr="00302AEF">
              <w:rPr>
                <w:rFonts w:ascii="Times New Roman" w:hAnsi="Times New Roman" w:cs="Times New Roman"/>
              </w:rPr>
              <w:t>, ci a echității sociale, obiective de dezvoltare, incluziune și coeziune socială</w:t>
            </w:r>
          </w:p>
        </w:tc>
      </w:tr>
    </w:tbl>
    <w:p w14:paraId="2D70DDF2" w14:textId="77777777" w:rsidR="00EF283F" w:rsidRPr="00302AEF" w:rsidRDefault="00EF283F" w:rsidP="00776675">
      <w:pPr>
        <w:spacing w:after="0"/>
        <w:jc w:val="both"/>
        <w:rPr>
          <w:rFonts w:ascii="Times New Roman" w:hAnsi="Times New Roman" w:cs="Times New Roman"/>
        </w:rPr>
      </w:pPr>
    </w:p>
    <w:p w14:paraId="5DFF470F" w14:textId="77777777" w:rsidR="00B062B2" w:rsidRPr="00C06AEE" w:rsidRDefault="00BD0C13" w:rsidP="0057327C">
      <w:pPr>
        <w:pStyle w:val="ListParagraph"/>
        <w:numPr>
          <w:ilvl w:val="1"/>
          <w:numId w:val="3"/>
        </w:numPr>
        <w:spacing w:after="0"/>
        <w:jc w:val="both"/>
        <w:rPr>
          <w:rFonts w:ascii="Times New Roman" w:hAnsi="Times New Roman" w:cs="Times New Roman"/>
          <w:b/>
          <w:sz w:val="24"/>
          <w:szCs w:val="24"/>
        </w:rPr>
      </w:pPr>
      <w:r w:rsidRPr="00C06AEE">
        <w:rPr>
          <w:rFonts w:ascii="Times New Roman" w:hAnsi="Times New Roman" w:cs="Times New Roman"/>
          <w:b/>
          <w:sz w:val="24"/>
          <w:szCs w:val="24"/>
        </w:rPr>
        <w:t>Serviciile de medicină primară</w:t>
      </w:r>
      <w:r w:rsidR="00B22255" w:rsidRPr="00C06AEE">
        <w:rPr>
          <w:rFonts w:ascii="Times New Roman" w:hAnsi="Times New Roman" w:cs="Times New Roman"/>
          <w:b/>
          <w:sz w:val="24"/>
          <w:szCs w:val="24"/>
        </w:rPr>
        <w:t xml:space="preserve"> și</w:t>
      </w:r>
      <w:r w:rsidRPr="00C06AEE">
        <w:rPr>
          <w:rFonts w:ascii="Times New Roman" w:hAnsi="Times New Roman" w:cs="Times New Roman"/>
          <w:b/>
          <w:sz w:val="24"/>
          <w:szCs w:val="24"/>
        </w:rPr>
        <w:t xml:space="preserve"> </w:t>
      </w:r>
      <w:r w:rsidR="00123CDC" w:rsidRPr="00C06AEE">
        <w:rPr>
          <w:rFonts w:ascii="Times New Roman" w:hAnsi="Times New Roman" w:cs="Times New Roman"/>
          <w:b/>
          <w:sz w:val="24"/>
          <w:szCs w:val="24"/>
        </w:rPr>
        <w:t>serviciile preventive</w:t>
      </w:r>
      <w:r w:rsidR="00434B47" w:rsidRPr="00C06AEE">
        <w:rPr>
          <w:rFonts w:ascii="Times New Roman" w:hAnsi="Times New Roman" w:cs="Times New Roman"/>
          <w:b/>
          <w:sz w:val="24"/>
          <w:szCs w:val="24"/>
        </w:rPr>
        <w:t xml:space="preserve"> </w:t>
      </w:r>
    </w:p>
    <w:p w14:paraId="2555E27E" w14:textId="77777777" w:rsidR="00257B2A" w:rsidRPr="00302AEF" w:rsidRDefault="00123CDC" w:rsidP="00123CDC">
      <w:pPr>
        <w:pStyle w:val="ListParagraph"/>
        <w:spacing w:after="0"/>
        <w:ind w:left="0"/>
        <w:jc w:val="both"/>
        <w:rPr>
          <w:rFonts w:ascii="Times New Roman" w:hAnsi="Times New Roman" w:cs="Times New Roman"/>
        </w:rPr>
      </w:pPr>
      <w:r w:rsidRPr="00302AEF">
        <w:rPr>
          <w:rFonts w:ascii="Times New Roman" w:hAnsi="Times New Roman" w:cs="Times New Roman"/>
        </w:rPr>
        <w:t>În cadrul general al acoperirii universale cu servicii</w:t>
      </w:r>
      <w:r w:rsidR="0068419B" w:rsidRPr="00302AEF">
        <w:rPr>
          <w:rFonts w:ascii="Times New Roman" w:hAnsi="Times New Roman" w:cs="Times New Roman"/>
        </w:rPr>
        <w:t xml:space="preserve"> de sănătate, </w:t>
      </w:r>
      <w:r w:rsidR="0068419B" w:rsidRPr="00302AEF">
        <w:rPr>
          <w:rFonts w:ascii="Times New Roman" w:hAnsi="Times New Roman" w:cs="Times New Roman"/>
          <w:b/>
        </w:rPr>
        <w:t xml:space="preserve">serviciile </w:t>
      </w:r>
      <w:r w:rsidRPr="00302AEF">
        <w:rPr>
          <w:rFonts w:ascii="Times New Roman" w:hAnsi="Times New Roman" w:cs="Times New Roman"/>
          <w:b/>
        </w:rPr>
        <w:t>de medicină primară</w:t>
      </w:r>
      <w:r w:rsidR="0068419B" w:rsidRPr="00302AEF">
        <w:rPr>
          <w:rFonts w:ascii="Times New Roman" w:hAnsi="Times New Roman" w:cs="Times New Roman"/>
        </w:rPr>
        <w:t xml:space="preserve"> ocupă un l</w:t>
      </w:r>
      <w:r w:rsidR="001C462A" w:rsidRPr="00302AEF">
        <w:rPr>
          <w:rFonts w:ascii="Times New Roman" w:hAnsi="Times New Roman" w:cs="Times New Roman"/>
        </w:rPr>
        <w:t xml:space="preserve">oc aparte, prin </w:t>
      </w:r>
      <w:r w:rsidR="00AF336D" w:rsidRPr="00302AEF">
        <w:rPr>
          <w:rFonts w:ascii="Times New Roman" w:hAnsi="Times New Roman" w:cs="Times New Roman"/>
        </w:rPr>
        <w:t>beneficiile pe care le au din punct de vedere al scăderii morbidității și mortalității premature în rândul populației, creșterii calității vieții și scăderii costurilor din sistemele de sănă</w:t>
      </w:r>
      <w:r w:rsidR="00670079" w:rsidRPr="00302AEF">
        <w:rPr>
          <w:rFonts w:ascii="Times New Roman" w:hAnsi="Times New Roman" w:cs="Times New Roman"/>
        </w:rPr>
        <w:t>t</w:t>
      </w:r>
      <w:r w:rsidR="00AF336D" w:rsidRPr="00302AEF">
        <w:rPr>
          <w:rFonts w:ascii="Times New Roman" w:hAnsi="Times New Roman" w:cs="Times New Roman"/>
        </w:rPr>
        <w:t>ate și asistență socială</w:t>
      </w:r>
      <w:r w:rsidRPr="00302AEF">
        <w:rPr>
          <w:rFonts w:ascii="Times New Roman" w:hAnsi="Times New Roman" w:cs="Times New Roman"/>
        </w:rPr>
        <w:t xml:space="preserve">. </w:t>
      </w:r>
      <w:r w:rsidR="00C47EEC" w:rsidRPr="00302AEF">
        <w:rPr>
          <w:rFonts w:ascii="Times New Roman" w:hAnsi="Times New Roman" w:cs="Times New Roman"/>
        </w:rPr>
        <w:t>Conform OMS, serviciile de medicină primară sunt cele mai eficace și cost-eficiente modalități de atingere a UHC la nivel mondial</w:t>
      </w:r>
      <w:r w:rsidR="00C06AEE">
        <w:rPr>
          <w:rStyle w:val="FootnoteReference"/>
          <w:rFonts w:ascii="Times New Roman" w:hAnsi="Times New Roman" w:cs="Times New Roman"/>
        </w:rPr>
        <w:footnoteReference w:id="10"/>
      </w:r>
      <w:r w:rsidR="00C47EEC" w:rsidRPr="00302AEF">
        <w:rPr>
          <w:rFonts w:ascii="Times New Roman" w:hAnsi="Times New Roman" w:cs="Times New Roman"/>
        </w:rPr>
        <w:t xml:space="preserve">. </w:t>
      </w:r>
    </w:p>
    <w:p w14:paraId="7E6B7F99" w14:textId="77777777" w:rsidR="00257B2A" w:rsidRPr="00302AEF" w:rsidRDefault="00C47EEC" w:rsidP="00257B2A">
      <w:pPr>
        <w:pStyle w:val="ListParagraph"/>
        <w:spacing w:after="0"/>
        <w:ind w:left="0"/>
        <w:jc w:val="both"/>
        <w:rPr>
          <w:rFonts w:ascii="Times New Roman" w:hAnsi="Times New Roman" w:cs="Times New Roman"/>
        </w:rPr>
      </w:pPr>
      <w:r w:rsidRPr="00302AEF">
        <w:rPr>
          <w:rFonts w:ascii="Times New Roman" w:hAnsi="Times New Roman" w:cs="Times New Roman"/>
        </w:rPr>
        <w:t>S</w:t>
      </w:r>
      <w:r w:rsidR="005121FC" w:rsidRPr="00302AEF">
        <w:rPr>
          <w:rFonts w:ascii="Times New Roman" w:hAnsi="Times New Roman" w:cs="Times New Roman"/>
        </w:rPr>
        <w:t xml:space="preserve">erviciile de medicină primară sunt definite </w:t>
      </w:r>
      <w:r w:rsidRPr="00302AEF">
        <w:rPr>
          <w:rFonts w:ascii="Times New Roman" w:hAnsi="Times New Roman" w:cs="Times New Roman"/>
        </w:rPr>
        <w:t xml:space="preserve">de OMS </w:t>
      </w:r>
      <w:r w:rsidR="005121FC" w:rsidRPr="00302AEF">
        <w:rPr>
          <w:rFonts w:ascii="Times New Roman" w:hAnsi="Times New Roman" w:cs="Times New Roman"/>
        </w:rPr>
        <w:t>ca:</w:t>
      </w:r>
      <w:r w:rsidR="00257B2A" w:rsidRPr="00302AEF">
        <w:rPr>
          <w:rFonts w:ascii="Times New Roman" w:hAnsi="Times New Roman" w:cs="Times New Roman"/>
        </w:rPr>
        <w:t xml:space="preserve"> o abordare a sănătății și bunăstării centrată pe nevoile și circumstanțele de viață ale indivizilor, familiilor și comunităților. Aceste servicii adresează într-un mod cuprinzător și inter-relaționat sănătatea fizică, mintală și socială precum și bunăstarea</w:t>
      </w:r>
      <w:r w:rsidR="00C06AEE">
        <w:rPr>
          <w:rFonts w:ascii="Times New Roman" w:hAnsi="Times New Roman" w:cs="Times New Roman"/>
          <w:vertAlign w:val="superscript"/>
        </w:rPr>
        <w:t>10</w:t>
      </w:r>
      <w:r w:rsidR="00257B2A" w:rsidRPr="00302AEF">
        <w:rPr>
          <w:rFonts w:ascii="Times New Roman" w:hAnsi="Times New Roman" w:cs="Times New Roman"/>
        </w:rPr>
        <w:t>.</w:t>
      </w:r>
    </w:p>
    <w:p w14:paraId="7D0AFC40" w14:textId="77777777" w:rsidR="005121FC" w:rsidRPr="00302AEF" w:rsidRDefault="00C47EEC" w:rsidP="00123CDC">
      <w:pPr>
        <w:pStyle w:val="ListParagraph"/>
        <w:spacing w:after="0"/>
        <w:ind w:left="0"/>
        <w:jc w:val="both"/>
        <w:rPr>
          <w:rFonts w:ascii="Times New Roman" w:hAnsi="Times New Roman" w:cs="Times New Roman"/>
        </w:rPr>
      </w:pPr>
      <w:r w:rsidRPr="00302AEF">
        <w:rPr>
          <w:rFonts w:ascii="Times New Roman" w:hAnsi="Times New Roman" w:cs="Times New Roman"/>
        </w:rPr>
        <w:t xml:space="preserve">Această </w:t>
      </w:r>
      <w:r w:rsidRPr="00302AEF">
        <w:rPr>
          <w:rFonts w:ascii="Times New Roman" w:hAnsi="Times New Roman" w:cs="Times New Roman"/>
          <w:b/>
        </w:rPr>
        <w:t>d</w:t>
      </w:r>
      <w:r w:rsidR="00257B2A" w:rsidRPr="00302AEF">
        <w:rPr>
          <w:rFonts w:ascii="Times New Roman" w:hAnsi="Times New Roman" w:cs="Times New Roman"/>
          <w:b/>
        </w:rPr>
        <w:t>efiniți</w:t>
      </w:r>
      <w:r w:rsidRPr="00302AEF">
        <w:rPr>
          <w:rFonts w:ascii="Times New Roman" w:hAnsi="Times New Roman" w:cs="Times New Roman"/>
          <w:b/>
        </w:rPr>
        <w:t xml:space="preserve">e </w:t>
      </w:r>
      <w:r w:rsidR="005121FC" w:rsidRPr="00302AEF">
        <w:rPr>
          <w:rFonts w:ascii="Times New Roman" w:hAnsi="Times New Roman" w:cs="Times New Roman"/>
          <w:b/>
        </w:rPr>
        <w:t>a servi</w:t>
      </w:r>
      <w:r w:rsidR="00257B2A" w:rsidRPr="00302AEF">
        <w:rPr>
          <w:rFonts w:ascii="Times New Roman" w:hAnsi="Times New Roman" w:cs="Times New Roman"/>
          <w:b/>
        </w:rPr>
        <w:t>ciilor de medicină primară</w:t>
      </w:r>
      <w:r w:rsidR="00257B2A" w:rsidRPr="00302AEF">
        <w:rPr>
          <w:rFonts w:ascii="Times New Roman" w:hAnsi="Times New Roman" w:cs="Times New Roman"/>
        </w:rPr>
        <w:t xml:space="preserve"> </w:t>
      </w:r>
      <w:r w:rsidR="005121FC" w:rsidRPr="00302AEF">
        <w:rPr>
          <w:rFonts w:ascii="Times New Roman" w:hAnsi="Times New Roman" w:cs="Times New Roman"/>
        </w:rPr>
        <w:t>include 3 componente</w:t>
      </w:r>
      <w:r w:rsidR="00C06AEE">
        <w:rPr>
          <w:rFonts w:ascii="Times New Roman" w:hAnsi="Times New Roman" w:cs="Times New Roman"/>
          <w:vertAlign w:val="superscript"/>
        </w:rPr>
        <w:t>10</w:t>
      </w:r>
      <w:r w:rsidR="005121FC" w:rsidRPr="00302AEF">
        <w:rPr>
          <w:rFonts w:ascii="Times New Roman" w:hAnsi="Times New Roman" w:cs="Times New Roman"/>
        </w:rPr>
        <w:t>:</w:t>
      </w:r>
    </w:p>
    <w:p w14:paraId="297C2434" w14:textId="77777777" w:rsidR="005121FC" w:rsidRPr="00302AEF" w:rsidRDefault="00257B2A" w:rsidP="00257B2A">
      <w:pPr>
        <w:pStyle w:val="ListParagraph"/>
        <w:numPr>
          <w:ilvl w:val="0"/>
          <w:numId w:val="16"/>
        </w:numPr>
        <w:spacing w:after="0"/>
        <w:jc w:val="both"/>
        <w:rPr>
          <w:rFonts w:ascii="Times New Roman" w:hAnsi="Times New Roman" w:cs="Times New Roman"/>
        </w:rPr>
      </w:pPr>
      <w:r w:rsidRPr="00302AEF">
        <w:rPr>
          <w:rFonts w:ascii="Times New Roman" w:hAnsi="Times New Roman" w:cs="Times New Roman"/>
        </w:rPr>
        <w:t xml:space="preserve">Asigurarea accesului tuturor persoanelor la servicii de promovare, prevenție, </w:t>
      </w:r>
      <w:r w:rsidR="00142C2F" w:rsidRPr="00302AEF">
        <w:rPr>
          <w:rFonts w:ascii="Times New Roman" w:hAnsi="Times New Roman" w:cs="Times New Roman"/>
        </w:rPr>
        <w:t>protecție, curative, de recuper</w:t>
      </w:r>
      <w:r w:rsidRPr="00302AEF">
        <w:rPr>
          <w:rFonts w:ascii="Times New Roman" w:hAnsi="Times New Roman" w:cs="Times New Roman"/>
        </w:rPr>
        <w:t>are și paliative pe tot parcursul vieții, prioritizând funcțiile cheie ale sistemului de sănătate adresate indivizilor și familiilor, ca parte centrală a unor servicii integrate, livrate la toate nivelurile de asistență medicală (primară, secundară, terțiară)</w:t>
      </w:r>
    </w:p>
    <w:p w14:paraId="1A85A999" w14:textId="77777777" w:rsidR="005121FC" w:rsidRPr="00302AEF" w:rsidRDefault="00257B2A" w:rsidP="00257B2A">
      <w:pPr>
        <w:pStyle w:val="ListParagraph"/>
        <w:numPr>
          <w:ilvl w:val="0"/>
          <w:numId w:val="16"/>
        </w:numPr>
        <w:spacing w:after="0"/>
        <w:jc w:val="both"/>
        <w:rPr>
          <w:rFonts w:ascii="Times New Roman" w:hAnsi="Times New Roman" w:cs="Times New Roman"/>
        </w:rPr>
      </w:pPr>
      <w:r w:rsidRPr="00302AEF">
        <w:rPr>
          <w:rFonts w:ascii="Times New Roman" w:hAnsi="Times New Roman" w:cs="Times New Roman"/>
        </w:rPr>
        <w:t xml:space="preserve">Adresarea sistematică a determinanților sănătății (inclusiv cei sociali, economic, de mediu, precum și caracteristicile individuale-genetice și comportamentale) prin politici publice informate de dovezi și prin acțiuni multi-sectoriale. </w:t>
      </w:r>
    </w:p>
    <w:p w14:paraId="14C809BB" w14:textId="77777777" w:rsidR="005121FC" w:rsidRPr="00302AEF" w:rsidRDefault="00C47EEC" w:rsidP="00C47EEC">
      <w:pPr>
        <w:pStyle w:val="ListParagraph"/>
        <w:numPr>
          <w:ilvl w:val="0"/>
          <w:numId w:val="16"/>
        </w:numPr>
        <w:spacing w:after="0"/>
        <w:jc w:val="both"/>
        <w:rPr>
          <w:rFonts w:ascii="Times New Roman" w:hAnsi="Times New Roman" w:cs="Times New Roman"/>
        </w:rPr>
      </w:pPr>
      <w:r w:rsidRPr="00302AEF">
        <w:rPr>
          <w:rFonts w:ascii="Times New Roman" w:hAnsi="Times New Roman" w:cs="Times New Roman"/>
        </w:rPr>
        <w:t xml:space="preserve">Stimularea și sprijinirea indivizilor, a familiilor și a comunităților pentru a-și optimiza propria sănătate, prin implicarea în politicile de promovare și protecție a sănătății și bunăstării, dezvoltarea comună (împreună cu autoritățile) a serviciilor sociale și prin asumarea rolurilor de auto-îngrijire și îngrijire a altor membrii ai comunității.  </w:t>
      </w:r>
    </w:p>
    <w:p w14:paraId="592A18C8" w14:textId="77777777" w:rsidR="0068419B" w:rsidRPr="00302AEF" w:rsidRDefault="00C47EEC" w:rsidP="00123CDC">
      <w:pPr>
        <w:pStyle w:val="ListParagraph"/>
        <w:spacing w:after="0"/>
        <w:ind w:left="0"/>
        <w:jc w:val="both"/>
        <w:rPr>
          <w:rFonts w:ascii="Times New Roman" w:hAnsi="Times New Roman" w:cs="Times New Roman"/>
        </w:rPr>
      </w:pPr>
      <w:r w:rsidRPr="00302AEF">
        <w:rPr>
          <w:rFonts w:ascii="Times New Roman" w:hAnsi="Times New Roman" w:cs="Times New Roman"/>
        </w:rPr>
        <w:lastRenderedPageBreak/>
        <w:t>Conform un</w:t>
      </w:r>
      <w:r w:rsidR="00463FEE" w:rsidRPr="00302AEF">
        <w:rPr>
          <w:rFonts w:ascii="Times New Roman" w:hAnsi="Times New Roman" w:cs="Times New Roman"/>
        </w:rPr>
        <w:t>ui</w:t>
      </w:r>
      <w:r w:rsidRPr="00302AEF">
        <w:rPr>
          <w:rFonts w:ascii="Times New Roman" w:hAnsi="Times New Roman" w:cs="Times New Roman"/>
        </w:rPr>
        <w:t xml:space="preserve"> raport recent (2017) al Comisiei Europene,</w:t>
      </w:r>
      <w:r w:rsidR="00BD0C13" w:rsidRPr="00302AEF">
        <w:rPr>
          <w:rFonts w:ascii="Times New Roman" w:hAnsi="Times New Roman" w:cs="Times New Roman"/>
        </w:rPr>
        <w:t xml:space="preserve"> </w:t>
      </w:r>
      <w:r w:rsidR="00463FEE" w:rsidRPr="00302AEF">
        <w:rPr>
          <w:rFonts w:ascii="Times New Roman" w:hAnsi="Times New Roman" w:cs="Times New Roman"/>
        </w:rPr>
        <w:t xml:space="preserve">un </w:t>
      </w:r>
      <w:r w:rsidR="00BD0C13" w:rsidRPr="00302AEF">
        <w:rPr>
          <w:rFonts w:ascii="Times New Roman" w:hAnsi="Times New Roman" w:cs="Times New Roman"/>
        </w:rPr>
        <w:t>sistem puternic de asistență medicală primară poate contribui la întărirea întregului sistem de sănătate</w:t>
      </w:r>
      <w:r w:rsidR="00005F57" w:rsidRPr="00302AEF">
        <w:rPr>
          <w:rFonts w:ascii="Times New Roman" w:hAnsi="Times New Roman" w:cs="Times New Roman"/>
        </w:rPr>
        <w:t xml:space="preserve">,  prin: 1) oferirea de servicii accesibile (din punct de vedere al prețului și al localizării acestora), 2) coordonarea asistenței medicale astfel încât fiecare pacient beneficiază de cele mai potrivite servicii, dată fiind afecțiunea de care suferă și 3) reducerea internărilor ”evitabile”. Cu toate acestea, este estimat faptul că </w:t>
      </w:r>
      <w:r w:rsidR="00005F57" w:rsidRPr="00302AEF">
        <w:rPr>
          <w:rFonts w:ascii="Times New Roman" w:hAnsi="Times New Roman" w:cs="Times New Roman"/>
          <w:b/>
        </w:rPr>
        <w:t>unul din patru cetățeni europeni</w:t>
      </w:r>
      <w:r w:rsidR="00005F57" w:rsidRPr="00302AEF">
        <w:rPr>
          <w:rFonts w:ascii="Times New Roman" w:hAnsi="Times New Roman" w:cs="Times New Roman"/>
        </w:rPr>
        <w:t xml:space="preserve"> se adresează serviciilor de medicină de urgență ca urmare a lipsei sau a unor </w:t>
      </w:r>
      <w:r w:rsidR="00B303DC" w:rsidRPr="00302AEF">
        <w:rPr>
          <w:rFonts w:ascii="Times New Roman" w:hAnsi="Times New Roman" w:cs="Times New Roman"/>
        </w:rPr>
        <w:t xml:space="preserve">servicii </w:t>
      </w:r>
      <w:r w:rsidR="00005F57" w:rsidRPr="00302AEF">
        <w:rPr>
          <w:rFonts w:ascii="Times New Roman" w:hAnsi="Times New Roman" w:cs="Times New Roman"/>
        </w:rPr>
        <w:t>de medicină primară inadecvate</w:t>
      </w:r>
      <w:r w:rsidR="00C06AEE">
        <w:rPr>
          <w:rStyle w:val="FootnoteReference"/>
          <w:rFonts w:ascii="Times New Roman" w:hAnsi="Times New Roman" w:cs="Times New Roman"/>
        </w:rPr>
        <w:footnoteReference w:id="11"/>
      </w:r>
      <w:r w:rsidR="00005F57" w:rsidRPr="00302AEF">
        <w:rPr>
          <w:rFonts w:ascii="Times New Roman" w:hAnsi="Times New Roman" w:cs="Times New Roman"/>
        </w:rPr>
        <w:t xml:space="preserve">.   </w:t>
      </w:r>
      <w:r w:rsidR="00BD0C13" w:rsidRPr="00302AEF">
        <w:rPr>
          <w:rFonts w:ascii="Times New Roman" w:hAnsi="Times New Roman" w:cs="Times New Roman"/>
        </w:rPr>
        <w:t xml:space="preserve"> </w:t>
      </w:r>
      <w:r w:rsidR="00670079" w:rsidRPr="00302AEF">
        <w:rPr>
          <w:rFonts w:ascii="Times New Roman" w:hAnsi="Times New Roman" w:cs="Times New Roman"/>
        </w:rPr>
        <w:t xml:space="preserve"> </w:t>
      </w:r>
    </w:p>
    <w:p w14:paraId="56C96BD4" w14:textId="77777777" w:rsidR="005121FC" w:rsidRPr="00302AEF" w:rsidRDefault="005121FC" w:rsidP="00123CDC">
      <w:pPr>
        <w:pStyle w:val="ListParagraph"/>
        <w:spacing w:after="0"/>
        <w:ind w:left="0"/>
        <w:jc w:val="both"/>
        <w:rPr>
          <w:rFonts w:ascii="Times New Roman" w:hAnsi="Times New Roman" w:cs="Times New Roman"/>
        </w:rPr>
      </w:pPr>
      <w:r w:rsidRPr="00302AEF">
        <w:rPr>
          <w:rFonts w:ascii="Times New Roman" w:hAnsi="Times New Roman" w:cs="Times New Roman"/>
        </w:rPr>
        <w:t>În cadrul serviciilor de medicină primară</w:t>
      </w:r>
      <w:r w:rsidR="0057327C" w:rsidRPr="00302AEF">
        <w:rPr>
          <w:rFonts w:ascii="Times New Roman" w:hAnsi="Times New Roman" w:cs="Times New Roman"/>
        </w:rPr>
        <w:t xml:space="preserve"> (dar și în cea secundară și terțiară)</w:t>
      </w:r>
      <w:r w:rsidRPr="00302AEF">
        <w:rPr>
          <w:rFonts w:ascii="Times New Roman" w:hAnsi="Times New Roman" w:cs="Times New Roman"/>
        </w:rPr>
        <w:t xml:space="preserve">, </w:t>
      </w:r>
      <w:r w:rsidRPr="00302AEF">
        <w:rPr>
          <w:rFonts w:ascii="Times New Roman" w:hAnsi="Times New Roman" w:cs="Times New Roman"/>
          <w:b/>
        </w:rPr>
        <w:t>serviciile de prevenție</w:t>
      </w:r>
      <w:r w:rsidRPr="00302AEF">
        <w:rPr>
          <w:rFonts w:ascii="Times New Roman" w:hAnsi="Times New Roman" w:cs="Times New Roman"/>
        </w:rPr>
        <w:t xml:space="preserve"> </w:t>
      </w:r>
      <w:r w:rsidR="00BD3854" w:rsidRPr="00302AEF">
        <w:rPr>
          <w:rFonts w:ascii="Times New Roman" w:hAnsi="Times New Roman" w:cs="Times New Roman"/>
        </w:rPr>
        <w:t>prezintă o importanță deosebită din perspectiva scăderii costurilor cu tratamenetele din siste</w:t>
      </w:r>
      <w:r w:rsidR="00BC7A05">
        <w:rPr>
          <w:rFonts w:ascii="Times New Roman" w:hAnsi="Times New Roman" w:cs="Times New Roman"/>
        </w:rPr>
        <w:t>mele de sănătate, a contribuiției</w:t>
      </w:r>
      <w:r w:rsidR="00BD3854" w:rsidRPr="00302AEF">
        <w:rPr>
          <w:rFonts w:ascii="Times New Roman" w:hAnsi="Times New Roman" w:cs="Times New Roman"/>
        </w:rPr>
        <w:t xml:space="preserve"> la o stare de sănătate mai bună în rândul populațiilor și la creșterea angajabilității și a productivității muncii</w:t>
      </w:r>
      <w:r w:rsidR="00C06AEE">
        <w:rPr>
          <w:rStyle w:val="FootnoteReference"/>
          <w:rFonts w:ascii="Times New Roman" w:hAnsi="Times New Roman" w:cs="Times New Roman"/>
        </w:rPr>
        <w:footnoteReference w:id="12"/>
      </w:r>
      <w:r w:rsidR="00BD3854" w:rsidRPr="00302AEF">
        <w:rPr>
          <w:rFonts w:ascii="Times New Roman" w:hAnsi="Times New Roman" w:cs="Times New Roman"/>
        </w:rPr>
        <w:t xml:space="preserve">. Astfel, deși costurile asociate bolilor cronice constituie până la </w:t>
      </w:r>
      <w:r w:rsidR="00BD3854" w:rsidRPr="00302AEF">
        <w:rPr>
          <w:rFonts w:ascii="Times New Roman" w:hAnsi="Times New Roman" w:cs="Times New Roman"/>
          <w:b/>
        </w:rPr>
        <w:t>80%</w:t>
      </w:r>
      <w:r w:rsidR="00BD3854" w:rsidRPr="00302AEF">
        <w:rPr>
          <w:rFonts w:ascii="Times New Roman" w:hAnsi="Times New Roman" w:cs="Times New Roman"/>
        </w:rPr>
        <w:t xml:space="preserve"> din totalul banilor cheltuiți în sistemul de sănătate și cel de asigurări sociale, la nivelul Uniunii Europene doar aproximativ </w:t>
      </w:r>
      <w:r w:rsidR="00BD3854" w:rsidRPr="00302AEF">
        <w:rPr>
          <w:rFonts w:ascii="Times New Roman" w:hAnsi="Times New Roman" w:cs="Times New Roman"/>
          <w:b/>
        </w:rPr>
        <w:t>3%</w:t>
      </w:r>
      <w:r w:rsidR="00BD3854" w:rsidRPr="00302AEF">
        <w:rPr>
          <w:rFonts w:ascii="Times New Roman" w:hAnsi="Times New Roman" w:cs="Times New Roman"/>
        </w:rPr>
        <w:t xml:space="preserve"> dintre bugetele pentru sănătate a statelor membre sunt alocate serviciilor preventive. Conceptul de prevenție cuprinde atât </w:t>
      </w:r>
      <w:r w:rsidR="00463FEE" w:rsidRPr="00302AEF">
        <w:rPr>
          <w:rFonts w:ascii="Times New Roman" w:hAnsi="Times New Roman" w:cs="Times New Roman"/>
        </w:rPr>
        <w:t>prevenția primordială (evitarea apariției și</w:t>
      </w:r>
      <w:r w:rsidR="0088230D" w:rsidRPr="00302AEF">
        <w:rPr>
          <w:rFonts w:ascii="Times New Roman" w:hAnsi="Times New Roman" w:cs="Times New Roman"/>
        </w:rPr>
        <w:t xml:space="preserve"> </w:t>
      </w:r>
      <w:r w:rsidR="000C106E">
        <w:rPr>
          <w:rFonts w:ascii="Times New Roman" w:hAnsi="Times New Roman" w:cs="Times New Roman"/>
        </w:rPr>
        <w:t xml:space="preserve">stabilirii </w:t>
      </w:r>
      <w:r w:rsidR="00463FEE" w:rsidRPr="00302AEF">
        <w:rPr>
          <w:rFonts w:ascii="Times New Roman" w:hAnsi="Times New Roman" w:cs="Times New Roman"/>
        </w:rPr>
        <w:t xml:space="preserve">modelelor sociale, economice și culturale care contribuie la creșterea riscului de îmbolnăvire), </w:t>
      </w:r>
      <w:r w:rsidR="00BD3854" w:rsidRPr="00302AEF">
        <w:rPr>
          <w:rFonts w:ascii="Times New Roman" w:hAnsi="Times New Roman" w:cs="Times New Roman"/>
        </w:rPr>
        <w:t>prevenția primară (menținerea sănătății și evitarea apariției bolilor), secundară (</w:t>
      </w:r>
      <w:r w:rsidR="0057327C" w:rsidRPr="00302AEF">
        <w:rPr>
          <w:rFonts w:ascii="Times New Roman" w:hAnsi="Times New Roman" w:cs="Times New Roman"/>
        </w:rPr>
        <w:t>detectarea și adresarea bolilor înaintea apariției simptomelor</w:t>
      </w:r>
      <w:r w:rsidR="00BD3854" w:rsidRPr="00302AEF">
        <w:rPr>
          <w:rFonts w:ascii="Times New Roman" w:hAnsi="Times New Roman" w:cs="Times New Roman"/>
        </w:rPr>
        <w:t>)</w:t>
      </w:r>
      <w:r w:rsidR="0057327C" w:rsidRPr="00302AEF">
        <w:rPr>
          <w:rFonts w:ascii="Times New Roman" w:hAnsi="Times New Roman" w:cs="Times New Roman"/>
        </w:rPr>
        <w:t>, cât și cea terțiară (reducerea consecințelor negative ale bolii). De asemenea, prevenția curpinde atât măsuri la nivel individual (adresarea necesității adoptării comportamentelor benefice pentru sănătate, cum ar fi evitarea fumatului, alimentația sănătoasă, evitarea consumului de alcool și droguri, activitatea fizică) cât și la nivel de politici pentru crearea unor medii (școală, loc de muncă, comunități) care să sprijine adoptarea acestor comportamente</w:t>
      </w:r>
      <w:r w:rsidR="00C06AEE">
        <w:rPr>
          <w:rStyle w:val="FootnoteReference"/>
          <w:rFonts w:ascii="Times New Roman" w:hAnsi="Times New Roman" w:cs="Times New Roman"/>
        </w:rPr>
        <w:footnoteReference w:id="13"/>
      </w:r>
      <w:r w:rsidR="0057327C" w:rsidRPr="00302AEF">
        <w:rPr>
          <w:rFonts w:ascii="Times New Roman" w:hAnsi="Times New Roman" w:cs="Times New Roman"/>
        </w:rPr>
        <w:t xml:space="preserve">.  </w:t>
      </w:r>
    </w:p>
    <w:p w14:paraId="610B9747" w14:textId="77777777" w:rsidR="0057327C" w:rsidRPr="00302AEF" w:rsidRDefault="0057327C" w:rsidP="00123CDC">
      <w:pPr>
        <w:pStyle w:val="ListParagraph"/>
        <w:spacing w:after="0"/>
        <w:ind w:left="0"/>
        <w:jc w:val="both"/>
        <w:rPr>
          <w:rFonts w:ascii="Times New Roman" w:hAnsi="Times New Roman" w:cs="Times New Roman"/>
        </w:rPr>
      </w:pPr>
      <w:r w:rsidRPr="00302AEF">
        <w:rPr>
          <w:rFonts w:ascii="Times New Roman" w:hAnsi="Times New Roman" w:cs="Times New Roman"/>
        </w:rPr>
        <w:t xml:space="preserve">Astfel, având în vedere importanța dezvoltării serviciilor preventive pentru scăderea costurilor în sistemele medical și social, creșterea speranței de viață și a calității vieții, în special în țările cu buget limitat acordat serviciilor de sănătate, anul acesta </w:t>
      </w:r>
      <w:r w:rsidRPr="00302AEF">
        <w:rPr>
          <w:rFonts w:ascii="Times New Roman" w:hAnsi="Times New Roman" w:cs="Times New Roman"/>
          <w:b/>
        </w:rPr>
        <w:t>tema aleasă pentru celebrarea ZMS 2019 la nivel național este: serviciile preventive</w:t>
      </w:r>
      <w:r w:rsidRPr="00302AEF">
        <w:rPr>
          <w:rFonts w:ascii="Times New Roman" w:hAnsi="Times New Roman" w:cs="Times New Roman"/>
        </w:rPr>
        <w:t xml:space="preserve">. </w:t>
      </w:r>
    </w:p>
    <w:p w14:paraId="14B766DF" w14:textId="77777777" w:rsidR="0057327C" w:rsidRPr="00302AEF" w:rsidRDefault="0057327C" w:rsidP="00123CDC">
      <w:pPr>
        <w:pStyle w:val="ListParagraph"/>
        <w:spacing w:after="0"/>
        <w:ind w:left="0"/>
        <w:jc w:val="both"/>
        <w:rPr>
          <w:rFonts w:ascii="Times New Roman" w:hAnsi="Times New Roman" w:cs="Times New Roman"/>
          <w:b/>
        </w:rPr>
      </w:pPr>
    </w:p>
    <w:p w14:paraId="5AF237F3" w14:textId="77777777" w:rsidR="00670079" w:rsidRPr="00C06AEE" w:rsidRDefault="00785E70" w:rsidP="0057327C">
      <w:pPr>
        <w:pStyle w:val="ListParagraph"/>
        <w:numPr>
          <w:ilvl w:val="1"/>
          <w:numId w:val="3"/>
        </w:numPr>
        <w:spacing w:after="0"/>
        <w:jc w:val="both"/>
        <w:rPr>
          <w:rFonts w:ascii="Times New Roman" w:hAnsi="Times New Roman" w:cs="Times New Roman"/>
          <w:b/>
          <w:sz w:val="24"/>
          <w:szCs w:val="24"/>
        </w:rPr>
      </w:pPr>
      <w:r w:rsidRPr="00C06AEE">
        <w:rPr>
          <w:rFonts w:ascii="Times New Roman" w:hAnsi="Times New Roman" w:cs="Times New Roman"/>
          <w:b/>
          <w:sz w:val="24"/>
          <w:szCs w:val="24"/>
        </w:rPr>
        <w:t>Mesaje cheie</w:t>
      </w:r>
      <w:r w:rsidR="00E554D9" w:rsidRPr="00C06AEE">
        <w:rPr>
          <w:rFonts w:ascii="Times New Roman" w:hAnsi="Times New Roman" w:cs="Times New Roman"/>
          <w:b/>
          <w:sz w:val="24"/>
          <w:szCs w:val="24"/>
        </w:rPr>
        <w:t xml:space="preserve"> și mesaje de mobilizare</w:t>
      </w:r>
      <w:r w:rsidRPr="00C06AEE">
        <w:rPr>
          <w:rFonts w:ascii="Times New Roman" w:hAnsi="Times New Roman" w:cs="Times New Roman"/>
          <w:b/>
          <w:sz w:val="24"/>
          <w:szCs w:val="24"/>
        </w:rPr>
        <w:t xml:space="preserve"> ZMS 2019 - </w:t>
      </w:r>
      <w:r w:rsidR="00670079" w:rsidRPr="00C06AEE">
        <w:rPr>
          <w:rFonts w:ascii="Times New Roman" w:hAnsi="Times New Roman" w:cs="Times New Roman"/>
          <w:b/>
          <w:sz w:val="24"/>
          <w:szCs w:val="24"/>
        </w:rPr>
        <w:t xml:space="preserve">UHC </w:t>
      </w:r>
    </w:p>
    <w:p w14:paraId="1959554C" w14:textId="77777777" w:rsidR="00785E70" w:rsidRPr="00302AEF" w:rsidRDefault="00C47EEC" w:rsidP="0068419B">
      <w:pPr>
        <w:pStyle w:val="ListParagraph"/>
        <w:spacing w:after="0"/>
        <w:ind w:left="0"/>
        <w:jc w:val="both"/>
        <w:rPr>
          <w:rFonts w:ascii="Times New Roman" w:hAnsi="Times New Roman" w:cs="Times New Roman"/>
        </w:rPr>
      </w:pPr>
      <w:r w:rsidRPr="00302AEF">
        <w:rPr>
          <w:rFonts w:ascii="Times New Roman" w:hAnsi="Times New Roman" w:cs="Times New Roman"/>
        </w:rPr>
        <w:t xml:space="preserve">Pentru celebarea ZMS 2019 la nivel mondial, OMS pune la dispoziția țărilor membre o serie de materiale informative, care să sprijine celebrarea acestei zile în fiecare dintre </w:t>
      </w:r>
      <w:r w:rsidR="00785E70" w:rsidRPr="00302AEF">
        <w:rPr>
          <w:rFonts w:ascii="Times New Roman" w:hAnsi="Times New Roman" w:cs="Times New Roman"/>
        </w:rPr>
        <w:t xml:space="preserve">aceste </w:t>
      </w:r>
      <w:r w:rsidRPr="00302AEF">
        <w:rPr>
          <w:rFonts w:ascii="Times New Roman" w:hAnsi="Times New Roman" w:cs="Times New Roman"/>
        </w:rPr>
        <w:t>țări</w:t>
      </w:r>
      <w:r w:rsidR="00C06AEE">
        <w:rPr>
          <w:rStyle w:val="FootnoteReference"/>
          <w:rFonts w:ascii="Times New Roman" w:hAnsi="Times New Roman" w:cs="Times New Roman"/>
        </w:rPr>
        <w:footnoteReference w:id="14"/>
      </w:r>
      <w:r w:rsidRPr="00302AEF">
        <w:rPr>
          <w:rFonts w:ascii="Times New Roman" w:hAnsi="Times New Roman" w:cs="Times New Roman"/>
        </w:rPr>
        <w:t>. Dintre acestea, mesajele cheie reprezintă afirmații dezvoltate pe baza celor mari recente dovezi și care trebuie să stea la baza politicilor și a activitiăților întreprinse în scopul atingerii UHC.</w:t>
      </w:r>
      <w:r w:rsidR="00785E70" w:rsidRPr="00302AEF">
        <w:rPr>
          <w:rFonts w:ascii="Times New Roman" w:hAnsi="Times New Roman" w:cs="Times New Roman"/>
        </w:rPr>
        <w:t xml:space="preserve"> </w:t>
      </w:r>
    </w:p>
    <w:p w14:paraId="4F4CB110" w14:textId="77777777" w:rsidR="0088230D" w:rsidRPr="00302AEF" w:rsidRDefault="00785E70" w:rsidP="0068419B">
      <w:pPr>
        <w:pStyle w:val="ListParagraph"/>
        <w:spacing w:after="0"/>
        <w:ind w:left="0"/>
        <w:jc w:val="both"/>
        <w:rPr>
          <w:rFonts w:ascii="Times New Roman" w:hAnsi="Times New Roman" w:cs="Times New Roman"/>
        </w:rPr>
      </w:pPr>
      <w:r w:rsidRPr="00302AEF">
        <w:rPr>
          <w:rFonts w:ascii="Times New Roman" w:hAnsi="Times New Roman" w:cs="Times New Roman"/>
        </w:rPr>
        <w:t xml:space="preserve">Având în vedere tematica abordată la nivel național respectiv </w:t>
      </w:r>
      <w:r w:rsidRPr="00302AEF">
        <w:rPr>
          <w:rFonts w:ascii="Times New Roman" w:hAnsi="Times New Roman" w:cs="Times New Roman"/>
          <w:b/>
        </w:rPr>
        <w:t>serviciile preventive</w:t>
      </w:r>
      <w:r w:rsidRPr="00302AEF">
        <w:rPr>
          <w:rFonts w:ascii="Times New Roman" w:hAnsi="Times New Roman" w:cs="Times New Roman"/>
        </w:rPr>
        <w:t>, am selectat o serie de mesaje cheie, de utilizat în contextul prezentării materialelor informative dezvoltate cu ocazia ZMS 2019, dar și cu alte ocazii (conferințe, ședințe de consultare-planificare, etc.) în care este adusă în discuție importanța medicinei primare și a serviciilor preventive pentru asigurarea unei populații cu o stare de sănătate optimă și a unui sistem de sănătate care să poată face față solicitărilor de asistență medicală venite din rândul populației</w:t>
      </w:r>
      <w:r w:rsidR="00C06AEE">
        <w:rPr>
          <w:rStyle w:val="FootnoteReference"/>
          <w:rFonts w:ascii="Times New Roman" w:hAnsi="Times New Roman" w:cs="Times New Roman"/>
        </w:rPr>
        <w:footnoteReference w:id="15"/>
      </w:r>
      <w:r w:rsidRPr="00302AEF">
        <w:rPr>
          <w:rFonts w:ascii="Times New Roman" w:hAnsi="Times New Roman" w:cs="Times New Roman"/>
        </w:rPr>
        <w:t>.</w:t>
      </w:r>
    </w:p>
    <w:p w14:paraId="274EED6A" w14:textId="77777777" w:rsidR="00EE0A68" w:rsidRPr="00302AEF" w:rsidRDefault="00F75AE1" w:rsidP="00F75AE1">
      <w:pPr>
        <w:pStyle w:val="ListParagraph"/>
        <w:numPr>
          <w:ilvl w:val="0"/>
          <w:numId w:val="14"/>
        </w:numPr>
        <w:spacing w:after="0"/>
        <w:jc w:val="both"/>
        <w:rPr>
          <w:rFonts w:ascii="Times New Roman" w:hAnsi="Times New Roman" w:cs="Times New Roman"/>
        </w:rPr>
      </w:pPr>
      <w:r w:rsidRPr="00302AEF">
        <w:rPr>
          <w:rFonts w:ascii="Times New Roman" w:hAnsi="Times New Roman" w:cs="Times New Roman"/>
        </w:rPr>
        <w:t>Serviciile de medicină primară de calitate și accesibile sunt fundația pentru atingerea UHC</w:t>
      </w:r>
    </w:p>
    <w:p w14:paraId="19F6C816" w14:textId="77777777" w:rsidR="00670079" w:rsidRPr="00302AEF" w:rsidRDefault="00F75AE1" w:rsidP="00F75AE1">
      <w:pPr>
        <w:pStyle w:val="ListParagraph"/>
        <w:numPr>
          <w:ilvl w:val="0"/>
          <w:numId w:val="14"/>
        </w:numPr>
        <w:spacing w:after="0"/>
        <w:jc w:val="both"/>
        <w:rPr>
          <w:rFonts w:ascii="Times New Roman" w:hAnsi="Times New Roman" w:cs="Times New Roman"/>
          <w:i/>
        </w:rPr>
      </w:pPr>
      <w:r w:rsidRPr="00302AEF">
        <w:rPr>
          <w:rFonts w:ascii="Times New Roman" w:hAnsi="Times New Roman" w:cs="Times New Roman"/>
        </w:rPr>
        <w:t xml:space="preserve">Medicina primară ar trebui să fie primul contact cu sistemul de sănătate, la nivelul căruia indivizii, familiile și comunitățile să beneficieze de majoritatea serviciilor de sănătate – de la promovare și </w:t>
      </w:r>
      <w:r w:rsidRPr="00302AEF">
        <w:rPr>
          <w:rFonts w:ascii="Times New Roman" w:hAnsi="Times New Roman" w:cs="Times New Roman"/>
        </w:rPr>
        <w:lastRenderedPageBreak/>
        <w:t>prevenție</w:t>
      </w:r>
      <w:r w:rsidR="00142C2F" w:rsidRPr="00302AEF">
        <w:rPr>
          <w:rFonts w:ascii="Times New Roman" w:hAnsi="Times New Roman" w:cs="Times New Roman"/>
        </w:rPr>
        <w:t xml:space="preserve"> la tratament, recuper</w:t>
      </w:r>
      <w:r w:rsidRPr="00302AEF">
        <w:rPr>
          <w:rFonts w:ascii="Times New Roman" w:hAnsi="Times New Roman" w:cs="Times New Roman"/>
        </w:rPr>
        <w:t xml:space="preserve">are și servicii paliative, cât de aproape posibil de locul de muncă sau de locuință. </w:t>
      </w:r>
    </w:p>
    <w:p w14:paraId="2B66BFE5" w14:textId="77777777" w:rsidR="00670079" w:rsidRPr="00302AEF" w:rsidRDefault="00142C2F" w:rsidP="00142C2F">
      <w:pPr>
        <w:pStyle w:val="ListParagraph"/>
        <w:numPr>
          <w:ilvl w:val="0"/>
          <w:numId w:val="14"/>
        </w:numPr>
        <w:spacing w:after="0"/>
        <w:jc w:val="both"/>
        <w:rPr>
          <w:rFonts w:ascii="Times New Roman" w:hAnsi="Times New Roman" w:cs="Times New Roman"/>
          <w:i/>
        </w:rPr>
      </w:pPr>
      <w:r w:rsidRPr="00302AEF">
        <w:rPr>
          <w:rFonts w:ascii="Times New Roman" w:hAnsi="Times New Roman" w:cs="Times New Roman"/>
        </w:rPr>
        <w:t xml:space="preserve">În esența ei, medicina primară are drept obiectiv grija față de indivizi și sprijinirea acestora în menținerea sănătății și a stării de bine, nu doar tratamentul unei singure boli sau condiții medicale. </w:t>
      </w:r>
    </w:p>
    <w:p w14:paraId="1FDC8E1C" w14:textId="77777777" w:rsidR="00670079" w:rsidRPr="00302AEF" w:rsidRDefault="00142C2F" w:rsidP="00142C2F">
      <w:pPr>
        <w:pStyle w:val="ListParagraph"/>
        <w:numPr>
          <w:ilvl w:val="0"/>
          <w:numId w:val="14"/>
        </w:numPr>
        <w:spacing w:after="0"/>
        <w:jc w:val="both"/>
        <w:rPr>
          <w:rFonts w:ascii="Times New Roman" w:hAnsi="Times New Roman" w:cs="Times New Roman"/>
          <w:i/>
        </w:rPr>
      </w:pPr>
      <w:r w:rsidRPr="00302AEF">
        <w:rPr>
          <w:rFonts w:ascii="Times New Roman" w:hAnsi="Times New Roman" w:cs="Times New Roman"/>
        </w:rPr>
        <w:t>Medicina primară acoperă majoritatea nevoilor tale de sănătate pe tot parcursul vieții, respectiv servicii de screening, vaccinare, informare cu privire la prevenirea bolilor, planificare familială, tratament pentru condițiie medicale acute și cronice, coordonare cu alte niveluri de îngrijire și recuperare.</w:t>
      </w:r>
    </w:p>
    <w:p w14:paraId="6B447A72" w14:textId="77777777" w:rsidR="00E80F71" w:rsidRPr="00E80F71" w:rsidRDefault="00B22255" w:rsidP="00E80F71">
      <w:pPr>
        <w:pStyle w:val="ListParagraph"/>
        <w:numPr>
          <w:ilvl w:val="0"/>
          <w:numId w:val="14"/>
        </w:numPr>
        <w:spacing w:after="0"/>
        <w:jc w:val="both"/>
        <w:rPr>
          <w:rFonts w:ascii="Times New Roman" w:hAnsi="Times New Roman" w:cs="Times New Roman"/>
          <w:i/>
        </w:rPr>
      </w:pPr>
      <w:r w:rsidRPr="00302AEF">
        <w:rPr>
          <w:rFonts w:ascii="Times New Roman" w:hAnsi="Times New Roman" w:cs="Times New Roman"/>
        </w:rPr>
        <w:t>Medicina primară reprezintă un mijloc cost-eficient și echitabil</w:t>
      </w:r>
      <w:r w:rsidR="00112D35">
        <w:rPr>
          <w:rFonts w:ascii="Times New Roman" w:hAnsi="Times New Roman" w:cs="Times New Roman"/>
        </w:rPr>
        <w:t xml:space="preserve"> </w:t>
      </w:r>
      <w:r w:rsidRPr="00302AEF">
        <w:rPr>
          <w:rFonts w:ascii="Times New Roman" w:hAnsi="Times New Roman" w:cs="Times New Roman"/>
        </w:rPr>
        <w:t xml:space="preserve">de livrare a serviciilor de sănătate, sprijinind progresul țărilor în atingerea UHC. </w:t>
      </w:r>
    </w:p>
    <w:p w14:paraId="3D1A630C" w14:textId="77777777" w:rsidR="00B22255" w:rsidRPr="00E80F71" w:rsidRDefault="00B22255" w:rsidP="00E80F71">
      <w:pPr>
        <w:pStyle w:val="ListParagraph"/>
        <w:numPr>
          <w:ilvl w:val="0"/>
          <w:numId w:val="14"/>
        </w:numPr>
        <w:spacing w:after="0"/>
        <w:jc w:val="both"/>
        <w:rPr>
          <w:rFonts w:ascii="Times New Roman" w:hAnsi="Times New Roman" w:cs="Times New Roman"/>
          <w:i/>
        </w:rPr>
      </w:pPr>
      <w:r w:rsidRPr="00E80F71">
        <w:rPr>
          <w:rFonts w:ascii="Times New Roman" w:hAnsi="Times New Roman" w:cs="Times New Roman"/>
        </w:rPr>
        <w:t>Un sistem de sănătate cu un servicii adecvate de medicină primară prezintă rezultate mai bune ale indicatorilor de morbiditate și mortalitate, este cost-eficient și are o calitate crescută a serviciilor de sănătate.</w:t>
      </w:r>
    </w:p>
    <w:p w14:paraId="3856921C" w14:textId="77777777" w:rsidR="00670079" w:rsidRPr="00302AEF" w:rsidRDefault="00B22255" w:rsidP="00B22255">
      <w:pPr>
        <w:pStyle w:val="ListParagraph"/>
        <w:numPr>
          <w:ilvl w:val="0"/>
          <w:numId w:val="14"/>
        </w:numPr>
        <w:spacing w:after="0"/>
        <w:jc w:val="both"/>
        <w:rPr>
          <w:rFonts w:ascii="Times New Roman" w:hAnsi="Times New Roman" w:cs="Times New Roman"/>
          <w:i/>
        </w:rPr>
      </w:pPr>
      <w:r w:rsidRPr="00302AEF">
        <w:rPr>
          <w:rFonts w:ascii="Times New Roman" w:hAnsi="Times New Roman" w:cs="Times New Roman"/>
        </w:rPr>
        <w:t xml:space="preserve">Profesioniștii din sănătate joacă un rol crucial în educarea pacienților în legătură cu modalitățile proprii de menținere a sănătății, în coordonarea procesului de acordare a îngrijirilor și în susținerea drepturilor pacienților lor în fața prestatorilor de servicii și a dezvoltatorilor de politici. </w:t>
      </w:r>
    </w:p>
    <w:p w14:paraId="6C301256" w14:textId="77777777" w:rsidR="00B22255" w:rsidRPr="00302AEF" w:rsidRDefault="00B22255" w:rsidP="00B22255">
      <w:pPr>
        <w:pStyle w:val="ListParagraph"/>
        <w:numPr>
          <w:ilvl w:val="0"/>
          <w:numId w:val="14"/>
        </w:numPr>
        <w:spacing w:after="0"/>
        <w:jc w:val="both"/>
        <w:rPr>
          <w:rFonts w:ascii="Times New Roman" w:hAnsi="Times New Roman" w:cs="Times New Roman"/>
          <w:i/>
        </w:rPr>
      </w:pPr>
      <w:r w:rsidRPr="00302AEF">
        <w:rPr>
          <w:rFonts w:ascii="Times New Roman" w:hAnsi="Times New Roman" w:cs="Times New Roman"/>
        </w:rPr>
        <w:t>Profesioniștii din domeniul medicinei primare au o relație de lungă durată cu pacienții lor, bazată pe încredere și susținută de cunoașterea istoricului medical; imaginea de ansamblu ajută în procesul de acordare a îngrijirilor și contribuie la economisirea banilor în sistem.</w:t>
      </w:r>
    </w:p>
    <w:p w14:paraId="0B3C691A" w14:textId="77777777" w:rsidR="00B22255" w:rsidRPr="00302AEF" w:rsidRDefault="00B22255" w:rsidP="00B22255">
      <w:pPr>
        <w:pStyle w:val="ListParagraph"/>
        <w:numPr>
          <w:ilvl w:val="0"/>
          <w:numId w:val="14"/>
        </w:numPr>
        <w:spacing w:after="0"/>
        <w:jc w:val="both"/>
        <w:rPr>
          <w:rFonts w:ascii="Times New Roman" w:hAnsi="Times New Roman" w:cs="Times New Roman"/>
          <w:i/>
        </w:rPr>
      </w:pPr>
      <w:r w:rsidRPr="00302AEF">
        <w:rPr>
          <w:rFonts w:ascii="Times New Roman" w:hAnsi="Times New Roman" w:cs="Times New Roman"/>
        </w:rPr>
        <w:t>Profesioniștii din do</w:t>
      </w:r>
      <w:r w:rsidR="00A805D0">
        <w:rPr>
          <w:rFonts w:ascii="Times New Roman" w:hAnsi="Times New Roman" w:cs="Times New Roman"/>
        </w:rPr>
        <w:t>meniul medicinei primare cunosc</w:t>
      </w:r>
      <w:r w:rsidRPr="00302AEF">
        <w:rPr>
          <w:rFonts w:ascii="Times New Roman" w:hAnsi="Times New Roman" w:cs="Times New Roman"/>
        </w:rPr>
        <w:t xml:space="preserve"> tradițiile, cultura și practicile comunităților în care lucrează, ceea ce îi face indispensabili în cazul unei epidemii sau a unei urgențe. </w:t>
      </w:r>
    </w:p>
    <w:p w14:paraId="2798C7AA" w14:textId="77777777" w:rsidR="00FD7839" w:rsidRPr="00302AEF" w:rsidRDefault="00FD7839" w:rsidP="00FD7839">
      <w:pPr>
        <w:pStyle w:val="ListParagraph"/>
        <w:spacing w:after="0"/>
        <w:ind w:left="360"/>
        <w:jc w:val="both"/>
        <w:rPr>
          <w:rFonts w:ascii="Times New Roman" w:hAnsi="Times New Roman" w:cs="Times New Roman"/>
          <w:i/>
        </w:rPr>
      </w:pPr>
    </w:p>
    <w:p w14:paraId="2B308798" w14:textId="77777777" w:rsidR="00E554D9" w:rsidRPr="00302AEF" w:rsidRDefault="00E554D9" w:rsidP="00E554D9">
      <w:pPr>
        <w:spacing w:after="0"/>
        <w:jc w:val="both"/>
        <w:rPr>
          <w:rFonts w:ascii="Times New Roman" w:hAnsi="Times New Roman" w:cs="Times New Roman"/>
          <w:b/>
        </w:rPr>
      </w:pPr>
      <w:r w:rsidRPr="00302AEF">
        <w:rPr>
          <w:rFonts w:ascii="Times New Roman" w:hAnsi="Times New Roman" w:cs="Times New Roman"/>
          <w:b/>
        </w:rPr>
        <w:t>Mesaje de mobilizare</w:t>
      </w:r>
    </w:p>
    <w:p w14:paraId="7FCEACF4" w14:textId="77777777" w:rsidR="00E554D9" w:rsidRPr="00302AEF" w:rsidRDefault="00E554D9" w:rsidP="00E554D9">
      <w:pPr>
        <w:pStyle w:val="ListParagraph"/>
        <w:numPr>
          <w:ilvl w:val="0"/>
          <w:numId w:val="26"/>
        </w:numPr>
        <w:spacing w:after="0"/>
        <w:jc w:val="both"/>
        <w:rPr>
          <w:rFonts w:ascii="Times New Roman" w:hAnsi="Times New Roman" w:cs="Times New Roman"/>
          <w:b/>
        </w:rPr>
      </w:pPr>
      <w:r w:rsidRPr="00302AEF">
        <w:rPr>
          <w:rFonts w:ascii="Times New Roman" w:hAnsi="Times New Roman" w:cs="Times New Roman"/>
          <w:b/>
        </w:rPr>
        <w:t>Adresate populației generale</w:t>
      </w:r>
    </w:p>
    <w:p w14:paraId="36CE0B92" w14:textId="77777777" w:rsidR="00E554D9" w:rsidRPr="00302AEF" w:rsidRDefault="00E554D9" w:rsidP="00E554D9">
      <w:pPr>
        <w:pStyle w:val="ListParagraph"/>
        <w:numPr>
          <w:ilvl w:val="0"/>
          <w:numId w:val="27"/>
        </w:numPr>
        <w:spacing w:after="0"/>
        <w:jc w:val="both"/>
        <w:rPr>
          <w:rFonts w:ascii="Times New Roman" w:hAnsi="Times New Roman" w:cs="Times New Roman"/>
        </w:rPr>
      </w:pPr>
      <w:r w:rsidRPr="00302AEF">
        <w:rPr>
          <w:rFonts w:ascii="Times New Roman" w:hAnsi="Times New Roman" w:cs="Times New Roman"/>
        </w:rPr>
        <w:t xml:space="preserve">Îngrijirea sănătății este dreptul </w:t>
      </w:r>
      <w:r w:rsidR="0088230D" w:rsidRPr="00302AEF">
        <w:rPr>
          <w:rFonts w:ascii="Times New Roman" w:hAnsi="Times New Roman" w:cs="Times New Roman"/>
        </w:rPr>
        <w:t>tău și al familiei tale. S</w:t>
      </w:r>
      <w:r w:rsidRPr="00302AEF">
        <w:rPr>
          <w:rFonts w:ascii="Times New Roman" w:hAnsi="Times New Roman" w:cs="Times New Roman"/>
        </w:rPr>
        <w:t>ă le transmitem liderilor noștrii că toți oamenii au dreptul la servicii de sănătate de calitate.</w:t>
      </w:r>
    </w:p>
    <w:p w14:paraId="199EAE7E" w14:textId="77777777" w:rsidR="00E554D9" w:rsidRPr="00302AEF" w:rsidRDefault="00E554D9" w:rsidP="00E554D9">
      <w:pPr>
        <w:pStyle w:val="ListParagraph"/>
        <w:numPr>
          <w:ilvl w:val="0"/>
          <w:numId w:val="27"/>
        </w:numPr>
        <w:spacing w:after="0"/>
        <w:jc w:val="both"/>
        <w:rPr>
          <w:rFonts w:ascii="Times New Roman" w:hAnsi="Times New Roman" w:cs="Times New Roman"/>
        </w:rPr>
      </w:pPr>
      <w:r w:rsidRPr="00302AEF">
        <w:rPr>
          <w:rFonts w:ascii="Times New Roman" w:hAnsi="Times New Roman" w:cs="Times New Roman"/>
        </w:rPr>
        <w:t>Contactează-ți medicul de familie, asistentul medical comunitar, mediator</w:t>
      </w:r>
      <w:r w:rsidR="00777934">
        <w:rPr>
          <w:rFonts w:ascii="Times New Roman" w:hAnsi="Times New Roman" w:cs="Times New Roman"/>
        </w:rPr>
        <w:t xml:space="preserve">ul sanitar sau medicul </w:t>
      </w:r>
      <w:r w:rsidR="00BC7A05">
        <w:rPr>
          <w:rFonts w:ascii="Times New Roman" w:hAnsi="Times New Roman" w:cs="Times New Roman"/>
        </w:rPr>
        <w:t xml:space="preserve">cu competență în </w:t>
      </w:r>
      <w:r w:rsidR="00777934">
        <w:rPr>
          <w:rFonts w:ascii="Times New Roman" w:hAnsi="Times New Roman" w:cs="Times New Roman"/>
        </w:rPr>
        <w:t xml:space="preserve"> medicină școlară</w:t>
      </w:r>
      <w:r w:rsidRPr="00302AEF">
        <w:rPr>
          <w:rFonts w:ascii="Times New Roman" w:hAnsi="Times New Roman" w:cs="Times New Roman"/>
        </w:rPr>
        <w:t xml:space="preserve"> pentru a te ajuta în obținerea informațiilor necesare pentru a putea avea grijă de sănătatea ta și a familiei tale. </w:t>
      </w:r>
    </w:p>
    <w:p w14:paraId="7798D211" w14:textId="77777777" w:rsidR="00E554D9" w:rsidRPr="00302AEF" w:rsidRDefault="00E554D9" w:rsidP="00E554D9">
      <w:pPr>
        <w:pStyle w:val="ListParagraph"/>
        <w:numPr>
          <w:ilvl w:val="0"/>
          <w:numId w:val="27"/>
        </w:numPr>
        <w:spacing w:after="0"/>
        <w:jc w:val="both"/>
        <w:rPr>
          <w:rFonts w:ascii="Times New Roman" w:hAnsi="Times New Roman" w:cs="Times New Roman"/>
        </w:rPr>
      </w:pPr>
      <w:r w:rsidRPr="00302AEF">
        <w:rPr>
          <w:rFonts w:ascii="Times New Roman" w:hAnsi="Times New Roman" w:cs="Times New Roman"/>
        </w:rPr>
        <w:t xml:space="preserve">Serviciile de sănătate de calitate sunt benefice pentru sănătatea populației, economie și bunăstarea generală a societății. </w:t>
      </w:r>
      <w:r w:rsidR="0088230D" w:rsidRPr="00302AEF">
        <w:rPr>
          <w:rFonts w:ascii="Times New Roman" w:hAnsi="Times New Roman" w:cs="Times New Roman"/>
        </w:rPr>
        <w:t>S</w:t>
      </w:r>
      <w:r w:rsidRPr="00302AEF">
        <w:rPr>
          <w:rFonts w:ascii="Times New Roman" w:hAnsi="Times New Roman" w:cs="Times New Roman"/>
        </w:rPr>
        <w:t>ă le solicităm liderilor la nivel mondial să transforme în realitate conceptul de sănătate pentru toți.</w:t>
      </w:r>
    </w:p>
    <w:p w14:paraId="3CBFBC27" w14:textId="77777777" w:rsidR="00E554D9" w:rsidRPr="00302AEF" w:rsidRDefault="00E554D9" w:rsidP="00E554D9">
      <w:pPr>
        <w:pStyle w:val="ListParagraph"/>
        <w:spacing w:after="0"/>
        <w:jc w:val="both"/>
        <w:rPr>
          <w:rFonts w:ascii="Times New Roman" w:hAnsi="Times New Roman" w:cs="Times New Roman"/>
          <w:i/>
          <w:color w:val="FF0000"/>
        </w:rPr>
      </w:pPr>
    </w:p>
    <w:p w14:paraId="22A20640" w14:textId="77777777" w:rsidR="00E554D9" w:rsidRPr="00302AEF" w:rsidRDefault="007C7A25" w:rsidP="00E554D9">
      <w:pPr>
        <w:pStyle w:val="ListParagraph"/>
        <w:numPr>
          <w:ilvl w:val="0"/>
          <w:numId w:val="26"/>
        </w:numPr>
        <w:spacing w:after="0"/>
        <w:jc w:val="both"/>
        <w:rPr>
          <w:rFonts w:ascii="Times New Roman" w:hAnsi="Times New Roman" w:cs="Times New Roman"/>
          <w:b/>
        </w:rPr>
      </w:pPr>
      <w:r>
        <w:rPr>
          <w:rFonts w:ascii="Times New Roman" w:hAnsi="Times New Roman" w:cs="Times New Roman"/>
          <w:b/>
        </w:rPr>
        <w:t xml:space="preserve">Adresate specialiștilor </w:t>
      </w:r>
      <w:r w:rsidR="00E554D9" w:rsidRPr="00302AEF">
        <w:rPr>
          <w:rFonts w:ascii="Times New Roman" w:hAnsi="Times New Roman" w:cs="Times New Roman"/>
          <w:b/>
        </w:rPr>
        <w:t>din domeniul sănătății</w:t>
      </w:r>
    </w:p>
    <w:p w14:paraId="3CD6962C" w14:textId="77777777" w:rsidR="00FD7839" w:rsidRPr="00302AEF" w:rsidRDefault="00FD7839" w:rsidP="00E554D9">
      <w:pPr>
        <w:pStyle w:val="ListParagraph"/>
        <w:numPr>
          <w:ilvl w:val="0"/>
          <w:numId w:val="38"/>
        </w:numPr>
        <w:spacing w:after="0" w:line="240" w:lineRule="auto"/>
        <w:jc w:val="both"/>
        <w:rPr>
          <w:rFonts w:ascii="Times New Roman" w:hAnsi="Times New Roman" w:cs="Times New Roman"/>
        </w:rPr>
      </w:pPr>
      <w:r w:rsidRPr="00302AEF">
        <w:rPr>
          <w:rFonts w:ascii="Times New Roman" w:hAnsi="Times New Roman" w:cs="Times New Roman"/>
        </w:rPr>
        <w:t xml:space="preserve">Tu ești vocea pacienților tăi. Împreună cu colegii, sprijină acoperirea uniersală cu servicii de sănătate în fața factorilor de decizie de la nivel local. </w:t>
      </w:r>
    </w:p>
    <w:p w14:paraId="0F4BF66C" w14:textId="77777777" w:rsidR="00B22255" w:rsidRPr="00302AEF" w:rsidRDefault="00FD7839" w:rsidP="00FD7839">
      <w:pPr>
        <w:pStyle w:val="ListParagraph"/>
        <w:numPr>
          <w:ilvl w:val="0"/>
          <w:numId w:val="38"/>
        </w:numPr>
        <w:spacing w:after="0" w:line="240" w:lineRule="auto"/>
        <w:jc w:val="both"/>
        <w:rPr>
          <w:rFonts w:ascii="Times New Roman" w:hAnsi="Times New Roman" w:cs="Times New Roman"/>
        </w:rPr>
      </w:pPr>
      <w:r w:rsidRPr="00302AEF">
        <w:rPr>
          <w:rFonts w:ascii="Times New Roman" w:hAnsi="Times New Roman" w:cs="Times New Roman"/>
        </w:rPr>
        <w:t>Specialiștii din domeniul sănătății au puterea de a schimba în bine viețile oamenilor prin oferirea de sfaturi și servici</w:t>
      </w:r>
      <w:r w:rsidR="00BC7A05">
        <w:rPr>
          <w:rFonts w:ascii="Times New Roman" w:hAnsi="Times New Roman" w:cs="Times New Roman"/>
        </w:rPr>
        <w:t>i de sănătate de calitate. S</w:t>
      </w:r>
      <w:r w:rsidRPr="00302AEF">
        <w:rPr>
          <w:rFonts w:ascii="Times New Roman" w:hAnsi="Times New Roman" w:cs="Times New Roman"/>
        </w:rPr>
        <w:t xml:space="preserve">ă ne asigurăm că toată lumea are acces egal la expertiza și abilitățile tale și ale tuturor specialiștilor din sănătate. </w:t>
      </w:r>
    </w:p>
    <w:p w14:paraId="703937F1" w14:textId="77777777" w:rsidR="00E554D9" w:rsidRPr="00302AEF" w:rsidRDefault="00FD7839" w:rsidP="00FD7839">
      <w:pPr>
        <w:pStyle w:val="ListParagraph"/>
        <w:numPr>
          <w:ilvl w:val="0"/>
          <w:numId w:val="38"/>
        </w:numPr>
        <w:spacing w:after="0" w:line="240" w:lineRule="auto"/>
        <w:jc w:val="both"/>
        <w:rPr>
          <w:rFonts w:ascii="Times New Roman" w:hAnsi="Times New Roman" w:cs="Times New Roman"/>
        </w:rPr>
      </w:pPr>
      <w:r w:rsidRPr="00302AEF">
        <w:rPr>
          <w:rFonts w:ascii="Times New Roman" w:hAnsi="Times New Roman" w:cs="Times New Roman"/>
        </w:rPr>
        <w:t xml:space="preserve">Motivează-ți pacienții să aibă grijă de propria lor sănătate. Tu ai un rol esențial în identificarea nevoilor lor și în educarea lor cu privire la ceea ce pot face ei înșiși pentru a se menține sănătoși.  </w:t>
      </w:r>
    </w:p>
    <w:p w14:paraId="5E2406EB" w14:textId="77777777" w:rsidR="00FD7839" w:rsidRPr="00302AEF" w:rsidRDefault="00FD7839" w:rsidP="00FD7839">
      <w:pPr>
        <w:pStyle w:val="ListParagraph"/>
        <w:spacing w:after="0" w:line="240" w:lineRule="auto"/>
        <w:ind w:left="360"/>
        <w:jc w:val="both"/>
        <w:rPr>
          <w:rFonts w:ascii="Times New Roman" w:hAnsi="Times New Roman" w:cs="Times New Roman"/>
          <w:i/>
        </w:rPr>
      </w:pPr>
    </w:p>
    <w:p w14:paraId="272A54A4" w14:textId="77777777" w:rsidR="00FD7839" w:rsidRPr="00C06AEE" w:rsidRDefault="00E554D9" w:rsidP="00E554D9">
      <w:pPr>
        <w:pStyle w:val="ListParagraph"/>
        <w:numPr>
          <w:ilvl w:val="0"/>
          <w:numId w:val="26"/>
        </w:numPr>
        <w:spacing w:after="0" w:line="240" w:lineRule="auto"/>
        <w:jc w:val="both"/>
        <w:rPr>
          <w:rFonts w:ascii="Times New Roman" w:hAnsi="Times New Roman" w:cs="Times New Roman"/>
          <w:b/>
        </w:rPr>
      </w:pPr>
      <w:r w:rsidRPr="00C06AEE">
        <w:rPr>
          <w:rFonts w:ascii="Times New Roman" w:hAnsi="Times New Roman" w:cs="Times New Roman"/>
          <w:b/>
        </w:rPr>
        <w:t>Adresate dezvoltatorilor de politici și factorilor de decizie</w:t>
      </w:r>
    </w:p>
    <w:p w14:paraId="1DFDE74E" w14:textId="77777777" w:rsidR="00B22255" w:rsidRPr="00C06AEE" w:rsidRDefault="00FD7839" w:rsidP="00E554D9">
      <w:pPr>
        <w:pStyle w:val="ListParagraph"/>
        <w:numPr>
          <w:ilvl w:val="0"/>
          <w:numId w:val="39"/>
        </w:numPr>
        <w:spacing w:after="0" w:line="240" w:lineRule="auto"/>
        <w:jc w:val="both"/>
        <w:rPr>
          <w:rFonts w:ascii="Times New Roman" w:hAnsi="Times New Roman" w:cs="Times New Roman"/>
        </w:rPr>
      </w:pPr>
      <w:r w:rsidRPr="00C06AEE">
        <w:rPr>
          <w:rFonts w:ascii="Times New Roman" w:hAnsi="Times New Roman" w:cs="Times New Roman"/>
        </w:rPr>
        <w:t xml:space="preserve">Investițiile în sistemul de sănătate sunt o alegere politică. Asigură-te că politicile de sănătate sunt luate în considerare în cadrul tuturor politicilor guvernului. </w:t>
      </w:r>
    </w:p>
    <w:p w14:paraId="309F5901" w14:textId="77777777" w:rsidR="00B22255" w:rsidRPr="00C06AEE" w:rsidRDefault="00C1492C" w:rsidP="00C1492C">
      <w:pPr>
        <w:pStyle w:val="ListParagraph"/>
        <w:numPr>
          <w:ilvl w:val="0"/>
          <w:numId w:val="39"/>
        </w:numPr>
        <w:spacing w:after="0" w:line="240" w:lineRule="auto"/>
        <w:jc w:val="both"/>
        <w:rPr>
          <w:rFonts w:ascii="Times New Roman" w:hAnsi="Times New Roman" w:cs="Times New Roman"/>
        </w:rPr>
      </w:pPr>
      <w:r w:rsidRPr="00C06AEE">
        <w:rPr>
          <w:rFonts w:ascii="Times New Roman" w:hAnsi="Times New Roman" w:cs="Times New Roman"/>
        </w:rPr>
        <w:t xml:space="preserve">Pentru atingerea UHC sunt necesare mai multe investiții în medicina primară. Contribuie și tu la atingerea acestui deziderat. </w:t>
      </w:r>
    </w:p>
    <w:p w14:paraId="6C2641A5" w14:textId="77777777" w:rsidR="00B22255" w:rsidRPr="00C06AEE" w:rsidRDefault="00C1492C" w:rsidP="00C1492C">
      <w:pPr>
        <w:pStyle w:val="ListParagraph"/>
        <w:numPr>
          <w:ilvl w:val="0"/>
          <w:numId w:val="39"/>
        </w:numPr>
        <w:spacing w:after="0" w:line="240" w:lineRule="auto"/>
        <w:jc w:val="both"/>
        <w:rPr>
          <w:rFonts w:ascii="Times New Roman" w:hAnsi="Times New Roman" w:cs="Times New Roman"/>
        </w:rPr>
      </w:pPr>
      <w:r w:rsidRPr="00C06AEE">
        <w:rPr>
          <w:rFonts w:ascii="Times New Roman" w:hAnsi="Times New Roman" w:cs="Times New Roman"/>
        </w:rPr>
        <w:t xml:space="preserve">Anul acesta i-ați angajamentul de a colecta date de calitate cu privire la starea de sănătate a populației și performanța sistemului sanitar, pentru a putea aloca resursele și aduce schimbări acolo unde este cea mai mare nevoie. </w:t>
      </w:r>
    </w:p>
    <w:p w14:paraId="12B13F52" w14:textId="77777777" w:rsidR="00C1492C" w:rsidRPr="00C06AEE" w:rsidRDefault="00C1492C" w:rsidP="00C1492C">
      <w:pPr>
        <w:pStyle w:val="ListParagraph"/>
        <w:spacing w:after="0" w:line="240" w:lineRule="auto"/>
        <w:ind w:left="360"/>
        <w:jc w:val="both"/>
        <w:rPr>
          <w:rFonts w:ascii="Times New Roman" w:hAnsi="Times New Roman" w:cs="Times New Roman"/>
        </w:rPr>
      </w:pPr>
    </w:p>
    <w:p w14:paraId="34D6E151" w14:textId="77777777" w:rsidR="00F52349" w:rsidRPr="00C06AEE" w:rsidRDefault="004349E2" w:rsidP="0057327C">
      <w:pPr>
        <w:pStyle w:val="ListParagraph"/>
        <w:numPr>
          <w:ilvl w:val="0"/>
          <w:numId w:val="3"/>
        </w:numPr>
        <w:spacing w:after="0"/>
        <w:rPr>
          <w:rFonts w:ascii="Times New Roman" w:hAnsi="Times New Roman" w:cs="Times New Roman"/>
          <w:b/>
          <w:sz w:val="28"/>
          <w:szCs w:val="28"/>
        </w:rPr>
      </w:pPr>
      <w:r w:rsidRPr="00C06AEE">
        <w:rPr>
          <w:rFonts w:ascii="Times New Roman" w:hAnsi="Times New Roman" w:cs="Times New Roman"/>
          <w:b/>
          <w:sz w:val="28"/>
          <w:szCs w:val="28"/>
        </w:rPr>
        <w:t xml:space="preserve">Date statistice la nivel </w:t>
      </w:r>
      <w:r w:rsidR="00F52349" w:rsidRPr="00C06AEE">
        <w:rPr>
          <w:rFonts w:ascii="Times New Roman" w:hAnsi="Times New Roman" w:cs="Times New Roman"/>
          <w:b/>
          <w:sz w:val="28"/>
          <w:szCs w:val="28"/>
        </w:rPr>
        <w:t>european</w:t>
      </w:r>
    </w:p>
    <w:p w14:paraId="328EA091" w14:textId="77777777" w:rsidR="004349E2" w:rsidRPr="00C06AEE" w:rsidRDefault="004349E2" w:rsidP="00E27D94">
      <w:pPr>
        <w:spacing w:after="0"/>
        <w:jc w:val="both"/>
        <w:rPr>
          <w:rFonts w:ascii="Times New Roman" w:hAnsi="Times New Roman" w:cs="Times New Roman"/>
        </w:rPr>
      </w:pPr>
    </w:p>
    <w:p w14:paraId="24B2A0BC" w14:textId="77777777" w:rsidR="00C95664" w:rsidRDefault="00C95664" w:rsidP="00E27D94">
      <w:pPr>
        <w:spacing w:after="0"/>
        <w:jc w:val="both"/>
        <w:rPr>
          <w:rFonts w:ascii="Times New Roman" w:hAnsi="Times New Roman" w:cs="Times New Roman"/>
        </w:rPr>
      </w:pPr>
      <w:r w:rsidRPr="00C06AEE">
        <w:rPr>
          <w:rFonts w:ascii="Times New Roman" w:hAnsi="Times New Roman" w:cs="Times New Roman"/>
        </w:rPr>
        <w:t>Pentru înțelegerea importanței serviciilor preventive</w:t>
      </w:r>
      <w:r w:rsidR="00D54513" w:rsidRPr="00C06AEE">
        <w:rPr>
          <w:rFonts w:ascii="Times New Roman" w:hAnsi="Times New Roman" w:cs="Times New Roman"/>
        </w:rPr>
        <w:t xml:space="preserve"> </w:t>
      </w:r>
      <w:r w:rsidRPr="00C06AEE">
        <w:rPr>
          <w:rFonts w:ascii="Times New Roman" w:hAnsi="Times New Roman" w:cs="Times New Roman"/>
        </w:rPr>
        <w:t xml:space="preserve">asupra </w:t>
      </w:r>
      <w:r w:rsidR="00E64F80" w:rsidRPr="00C06AEE">
        <w:rPr>
          <w:rFonts w:ascii="Times New Roman" w:hAnsi="Times New Roman" w:cs="Times New Roman"/>
        </w:rPr>
        <w:t xml:space="preserve">stării de sănătate a populației </w:t>
      </w:r>
      <w:r w:rsidRPr="00C06AEE">
        <w:rPr>
          <w:rFonts w:ascii="Times New Roman" w:hAnsi="Times New Roman" w:cs="Times New Roman"/>
        </w:rPr>
        <w:t xml:space="preserve">vom prezenta în continuare o serie de date statistice </w:t>
      </w:r>
      <w:r w:rsidR="00D54513" w:rsidRPr="00C06AEE">
        <w:rPr>
          <w:rFonts w:ascii="Times New Roman" w:hAnsi="Times New Roman" w:cs="Times New Roman"/>
        </w:rPr>
        <w:t xml:space="preserve">cu privire la mortalitatea prevenibilă </w:t>
      </w:r>
      <w:r w:rsidRPr="00C06AEE">
        <w:rPr>
          <w:rFonts w:ascii="Times New Roman" w:hAnsi="Times New Roman" w:cs="Times New Roman"/>
        </w:rPr>
        <w:t>la nivel european</w:t>
      </w:r>
      <w:r w:rsidR="00D54513" w:rsidRPr="00C06AEE">
        <w:rPr>
          <w:rFonts w:ascii="Times New Roman" w:hAnsi="Times New Roman" w:cs="Times New Roman"/>
        </w:rPr>
        <w:t xml:space="preserve"> (3.1), impactul </w:t>
      </w:r>
      <w:r w:rsidR="00CC609D" w:rsidRPr="00C06AEE">
        <w:rPr>
          <w:rFonts w:ascii="Times New Roman" w:hAnsi="Times New Roman" w:cs="Times New Roman"/>
        </w:rPr>
        <w:t>screeningului</w:t>
      </w:r>
      <w:r w:rsidR="00660D53" w:rsidRPr="00C06AEE">
        <w:rPr>
          <w:rFonts w:ascii="Times New Roman" w:hAnsi="Times New Roman" w:cs="Times New Roman"/>
        </w:rPr>
        <w:t xml:space="preserve"> asupra </w:t>
      </w:r>
      <w:r w:rsidR="00D54513" w:rsidRPr="00C06AEE">
        <w:rPr>
          <w:rFonts w:ascii="Times New Roman" w:hAnsi="Times New Roman" w:cs="Times New Roman"/>
        </w:rPr>
        <w:t xml:space="preserve">mortalității </w:t>
      </w:r>
      <w:r w:rsidR="00660D53" w:rsidRPr="00C06AEE">
        <w:rPr>
          <w:rFonts w:ascii="Times New Roman" w:hAnsi="Times New Roman" w:cs="Times New Roman"/>
        </w:rPr>
        <w:t>prin</w:t>
      </w:r>
      <w:r w:rsidR="00D54513" w:rsidRPr="00C06AEE">
        <w:rPr>
          <w:rFonts w:ascii="Times New Roman" w:hAnsi="Times New Roman" w:cs="Times New Roman"/>
        </w:rPr>
        <w:t xml:space="preserve"> c</w:t>
      </w:r>
      <w:r w:rsidR="00660D53" w:rsidRPr="00C06AEE">
        <w:rPr>
          <w:rFonts w:ascii="Times New Roman" w:hAnsi="Times New Roman" w:cs="Times New Roman"/>
        </w:rPr>
        <w:t xml:space="preserve">ancer </w:t>
      </w:r>
      <w:r w:rsidR="00D54513" w:rsidRPr="00C06AEE">
        <w:rPr>
          <w:rFonts w:ascii="Times New Roman" w:hAnsi="Times New Roman" w:cs="Times New Roman"/>
        </w:rPr>
        <w:t>cervical</w:t>
      </w:r>
      <w:r w:rsidR="0088230D" w:rsidRPr="00C06AEE">
        <w:rPr>
          <w:rFonts w:ascii="Times New Roman" w:hAnsi="Times New Roman" w:cs="Times New Roman"/>
        </w:rPr>
        <w:t xml:space="preserve"> (3.2), </w:t>
      </w:r>
      <w:r w:rsidR="0098069F" w:rsidRPr="00C06AEE">
        <w:rPr>
          <w:rFonts w:ascii="Times New Roman" w:hAnsi="Times New Roman" w:cs="Times New Roman"/>
        </w:rPr>
        <w:t>evoluția nivelurilor</w:t>
      </w:r>
      <w:r w:rsidRPr="00C06AEE">
        <w:rPr>
          <w:rFonts w:ascii="Times New Roman" w:hAnsi="Times New Roman" w:cs="Times New Roman"/>
        </w:rPr>
        <w:t xml:space="preserve"> de finanțare a serviciilor preventive (comparativ cu celelalte tipuri de servicii de sănăta</w:t>
      </w:r>
      <w:r w:rsidR="00D54513" w:rsidRPr="00C06AEE">
        <w:rPr>
          <w:rFonts w:ascii="Times New Roman" w:hAnsi="Times New Roman" w:cs="Times New Roman"/>
        </w:rPr>
        <w:t>te (3.3)</w:t>
      </w:r>
      <w:r w:rsidR="0088230D" w:rsidRPr="00C06AEE">
        <w:rPr>
          <w:rFonts w:ascii="Times New Roman" w:hAnsi="Times New Roman" w:cs="Times New Roman"/>
        </w:rPr>
        <w:t>, precum și impactul economic</w:t>
      </w:r>
      <w:r w:rsidR="00703E13" w:rsidRPr="00C06AEE">
        <w:rPr>
          <w:rFonts w:ascii="Times New Roman" w:hAnsi="Times New Roman" w:cs="Times New Roman"/>
        </w:rPr>
        <w:t xml:space="preserve"> pozitiv</w:t>
      </w:r>
      <w:r w:rsidR="0088230D" w:rsidRPr="00C06AEE">
        <w:rPr>
          <w:rFonts w:ascii="Times New Roman" w:hAnsi="Times New Roman" w:cs="Times New Roman"/>
        </w:rPr>
        <w:t xml:space="preserve"> al serviciilor preventive (3.4)</w:t>
      </w:r>
      <w:r w:rsidR="00D54513" w:rsidRPr="00C06AEE">
        <w:rPr>
          <w:rFonts w:ascii="Times New Roman" w:hAnsi="Times New Roman" w:cs="Times New Roman"/>
        </w:rPr>
        <w:t xml:space="preserve">. </w:t>
      </w:r>
    </w:p>
    <w:p w14:paraId="73CD1FC4" w14:textId="77777777" w:rsidR="00BC7A05" w:rsidRPr="00C06AEE" w:rsidRDefault="00BC7A05" w:rsidP="00E27D94">
      <w:pPr>
        <w:spacing w:after="0"/>
        <w:jc w:val="both"/>
        <w:rPr>
          <w:rFonts w:ascii="Times New Roman" w:hAnsi="Times New Roman" w:cs="Times New Roman"/>
        </w:rPr>
      </w:pPr>
    </w:p>
    <w:p w14:paraId="1F488962" w14:textId="04C780B4" w:rsidR="00573F21" w:rsidRPr="00573F21" w:rsidRDefault="00C95664" w:rsidP="00693394">
      <w:pPr>
        <w:pStyle w:val="ListParagraph"/>
        <w:numPr>
          <w:ilvl w:val="0"/>
          <w:numId w:val="21"/>
        </w:numPr>
        <w:spacing w:after="0"/>
        <w:jc w:val="both"/>
        <w:rPr>
          <w:rFonts w:ascii="Times New Roman" w:hAnsi="Times New Roman" w:cs="Times New Roman"/>
        </w:rPr>
      </w:pPr>
      <w:r w:rsidRPr="00573F21">
        <w:rPr>
          <w:rFonts w:ascii="Times New Roman" w:hAnsi="Times New Roman" w:cs="Times New Roman"/>
          <w:b/>
          <w:sz w:val="24"/>
          <w:szCs w:val="24"/>
        </w:rPr>
        <w:t xml:space="preserve">Mortalitatea </w:t>
      </w:r>
      <w:r w:rsidR="00493C8D" w:rsidRPr="00573F21">
        <w:rPr>
          <w:rFonts w:ascii="Times New Roman" w:hAnsi="Times New Roman" w:cs="Times New Roman"/>
          <w:b/>
          <w:sz w:val="24"/>
          <w:szCs w:val="24"/>
        </w:rPr>
        <w:t xml:space="preserve"> </w:t>
      </w:r>
      <w:r w:rsidRPr="00573F21">
        <w:rPr>
          <w:rFonts w:ascii="Times New Roman" w:hAnsi="Times New Roman" w:cs="Times New Roman"/>
          <w:b/>
          <w:sz w:val="24"/>
          <w:szCs w:val="24"/>
        </w:rPr>
        <w:t>prevenibilă</w:t>
      </w:r>
      <w:r w:rsidR="00BC7A05" w:rsidRPr="00573F21">
        <w:rPr>
          <w:rFonts w:ascii="Times New Roman" w:hAnsi="Times New Roman" w:cs="Times New Roman"/>
          <w:b/>
          <w:sz w:val="24"/>
          <w:szCs w:val="24"/>
        </w:rPr>
        <w:t xml:space="preserve"> și </w:t>
      </w:r>
      <w:r w:rsidR="00493C8D" w:rsidRPr="00573F21">
        <w:rPr>
          <w:rFonts w:ascii="Times New Roman" w:hAnsi="Times New Roman" w:cs="Times New Roman"/>
          <w:b/>
          <w:sz w:val="24"/>
          <w:szCs w:val="24"/>
        </w:rPr>
        <w:t>mortalitatea</w:t>
      </w:r>
      <w:r w:rsidR="00C65E76" w:rsidRPr="00573F21">
        <w:rPr>
          <w:rFonts w:ascii="Times New Roman" w:hAnsi="Times New Roman" w:cs="Times New Roman"/>
          <w:b/>
          <w:sz w:val="24"/>
          <w:szCs w:val="24"/>
        </w:rPr>
        <w:t xml:space="preserve"> evitabilă </w:t>
      </w:r>
      <w:r w:rsidR="004E6D68">
        <w:rPr>
          <w:rFonts w:ascii="Times New Roman" w:hAnsi="Times New Roman" w:cs="Times New Roman"/>
          <w:b/>
          <w:sz w:val="24"/>
          <w:szCs w:val="24"/>
        </w:rPr>
        <w:t xml:space="preserve"> (amenable)</w:t>
      </w:r>
    </w:p>
    <w:p w14:paraId="3CCB2CB9" w14:textId="05CD6446" w:rsidR="00C95664" w:rsidRPr="00573F21" w:rsidRDefault="00C95664" w:rsidP="0066140B">
      <w:pPr>
        <w:spacing w:after="0"/>
        <w:jc w:val="both"/>
        <w:rPr>
          <w:rFonts w:ascii="Times New Roman" w:hAnsi="Times New Roman" w:cs="Times New Roman"/>
        </w:rPr>
      </w:pPr>
      <w:r w:rsidRPr="00573F21">
        <w:rPr>
          <w:rFonts w:ascii="Times New Roman" w:hAnsi="Times New Roman" w:cs="Times New Roman"/>
        </w:rPr>
        <w:t xml:space="preserve">Conform Eurostat, mortalitatea prevenibilă </w:t>
      </w:r>
      <w:r w:rsidR="00573F21">
        <w:rPr>
          <w:rFonts w:ascii="Times New Roman" w:hAnsi="Times New Roman" w:cs="Times New Roman"/>
        </w:rPr>
        <w:t>face referire la</w:t>
      </w:r>
      <w:r w:rsidRPr="00573F21">
        <w:rPr>
          <w:rFonts w:ascii="Times New Roman" w:hAnsi="Times New Roman" w:cs="Times New Roman"/>
        </w:rPr>
        <w:t xml:space="preserve"> decese</w:t>
      </w:r>
      <w:r w:rsidR="00C65E76" w:rsidRPr="00573F21">
        <w:rPr>
          <w:rFonts w:ascii="Times New Roman" w:hAnsi="Times New Roman" w:cs="Times New Roman"/>
        </w:rPr>
        <w:t>le</w:t>
      </w:r>
      <w:r w:rsidRPr="00573F21">
        <w:rPr>
          <w:rFonts w:ascii="Times New Roman" w:hAnsi="Times New Roman" w:cs="Times New Roman"/>
        </w:rPr>
        <w:t xml:space="preserve"> care ar fi putut fi evitate prin măsuri de sănătate publică și intervenții preventive, în timp ce mortalitatea </w:t>
      </w:r>
      <w:r w:rsidR="00314531">
        <w:rPr>
          <w:rFonts w:ascii="Times New Roman" w:hAnsi="Times New Roman" w:cs="Times New Roman"/>
        </w:rPr>
        <w:t xml:space="preserve">evitabilă </w:t>
      </w:r>
      <w:r w:rsidR="00BC7A05" w:rsidRPr="00573F21">
        <w:rPr>
          <w:rFonts w:ascii="Times New Roman" w:hAnsi="Times New Roman" w:cs="Times New Roman"/>
        </w:rPr>
        <w:t>(</w:t>
      </w:r>
      <w:r w:rsidR="00314531">
        <w:rPr>
          <w:rFonts w:ascii="Times New Roman" w:hAnsi="Times New Roman" w:cs="Times New Roman"/>
        </w:rPr>
        <w:t xml:space="preserve">En </w:t>
      </w:r>
      <w:r w:rsidR="00BC7A05" w:rsidRPr="00573F21">
        <w:rPr>
          <w:rFonts w:ascii="Times New Roman" w:hAnsi="Times New Roman" w:cs="Times New Roman"/>
        </w:rPr>
        <w:t>amenable</w:t>
      </w:r>
      <w:r w:rsidR="00314531">
        <w:rPr>
          <w:rFonts w:ascii="Times New Roman" w:hAnsi="Times New Roman" w:cs="Times New Roman"/>
        </w:rPr>
        <w:t>/evitabilă</w:t>
      </w:r>
      <w:r w:rsidR="00BC7A05" w:rsidRPr="00573F21">
        <w:rPr>
          <w:rFonts w:ascii="Times New Roman" w:hAnsi="Times New Roman" w:cs="Times New Roman"/>
        </w:rPr>
        <w:t xml:space="preserve">) </w:t>
      </w:r>
      <w:r w:rsidR="00573F21">
        <w:rPr>
          <w:rFonts w:ascii="Times New Roman" w:hAnsi="Times New Roman" w:cs="Times New Roman"/>
        </w:rPr>
        <w:t>se referă la</w:t>
      </w:r>
      <w:r w:rsidRPr="00573F21">
        <w:rPr>
          <w:rFonts w:ascii="Times New Roman" w:hAnsi="Times New Roman" w:cs="Times New Roman"/>
        </w:rPr>
        <w:t xml:space="preserve"> decese</w:t>
      </w:r>
      <w:r w:rsidR="00C65E76" w:rsidRPr="00573F21">
        <w:rPr>
          <w:rFonts w:ascii="Times New Roman" w:hAnsi="Times New Roman" w:cs="Times New Roman"/>
        </w:rPr>
        <w:t>le</w:t>
      </w:r>
      <w:r w:rsidRPr="00573F21">
        <w:rPr>
          <w:rFonts w:ascii="Times New Roman" w:hAnsi="Times New Roman" w:cs="Times New Roman"/>
        </w:rPr>
        <w:t xml:space="preserve"> care ar fi putut fi evitate prin acordarea </w:t>
      </w:r>
      <w:r w:rsidR="0066140B" w:rsidRPr="00573F21">
        <w:rPr>
          <w:rFonts w:ascii="Times New Roman" w:hAnsi="Times New Roman" w:cs="Times New Roman"/>
        </w:rPr>
        <w:t xml:space="preserve">în timp util </w:t>
      </w:r>
      <w:r w:rsidRPr="00573F21">
        <w:rPr>
          <w:rFonts w:ascii="Times New Roman" w:hAnsi="Times New Roman" w:cs="Times New Roman"/>
        </w:rPr>
        <w:t xml:space="preserve">de </w:t>
      </w:r>
      <w:r w:rsidR="00573F21" w:rsidRPr="00573F21">
        <w:rPr>
          <w:rFonts w:ascii="Times New Roman" w:hAnsi="Times New Roman" w:cs="Times New Roman"/>
          <w:bCs/>
        </w:rPr>
        <w:t>îngrijiri medicale</w:t>
      </w:r>
      <w:r w:rsidR="00573F21" w:rsidRPr="00573F21">
        <w:rPr>
          <w:rFonts w:ascii="Times New Roman" w:hAnsi="Times New Roman" w:cs="Times New Roman"/>
          <w:b/>
        </w:rPr>
        <w:t xml:space="preserve"> </w:t>
      </w:r>
      <w:r w:rsidRPr="00573F21">
        <w:rPr>
          <w:rFonts w:ascii="Times New Roman" w:hAnsi="Times New Roman" w:cs="Times New Roman"/>
        </w:rPr>
        <w:t>eficiente</w:t>
      </w:r>
      <w:r w:rsidR="00C06AEE">
        <w:rPr>
          <w:rStyle w:val="FootnoteReference"/>
          <w:rFonts w:ascii="Times New Roman" w:hAnsi="Times New Roman" w:cs="Times New Roman"/>
        </w:rPr>
        <w:footnoteReference w:id="16"/>
      </w:r>
      <w:r w:rsidRPr="00573F21">
        <w:rPr>
          <w:rFonts w:ascii="Times New Roman" w:hAnsi="Times New Roman" w:cs="Times New Roman"/>
        </w:rPr>
        <w:t xml:space="preserve">. Cele două tipuri de </w:t>
      </w:r>
      <w:r w:rsidR="00D12B4A" w:rsidRPr="00573F21">
        <w:rPr>
          <w:rFonts w:ascii="Times New Roman" w:hAnsi="Times New Roman" w:cs="Times New Roman"/>
        </w:rPr>
        <w:t xml:space="preserve">mortalitate </w:t>
      </w:r>
      <w:r w:rsidR="0066140B">
        <w:rPr>
          <w:rFonts w:ascii="Times New Roman" w:hAnsi="Times New Roman" w:cs="Times New Roman"/>
        </w:rPr>
        <w:t xml:space="preserve">iau în considerare </w:t>
      </w:r>
      <w:r w:rsidR="0066140B" w:rsidRPr="0066140B">
        <w:rPr>
          <w:rFonts w:ascii="Times New Roman" w:hAnsi="Times New Roman" w:cs="Times New Roman"/>
        </w:rPr>
        <w:t>decesel</w:t>
      </w:r>
      <w:r w:rsidR="0066140B">
        <w:rPr>
          <w:rFonts w:ascii="Times New Roman" w:hAnsi="Times New Roman" w:cs="Times New Roman"/>
        </w:rPr>
        <w:t xml:space="preserve">e </w:t>
      </w:r>
      <w:r w:rsidR="0066140B" w:rsidRPr="0066140B">
        <w:rPr>
          <w:rFonts w:ascii="Times New Roman" w:hAnsi="Times New Roman" w:cs="Times New Roman"/>
        </w:rPr>
        <w:t xml:space="preserve"> premature, definite ca</w:t>
      </w:r>
      <w:r w:rsidR="0066140B">
        <w:rPr>
          <w:rFonts w:ascii="Times New Roman" w:hAnsi="Times New Roman" w:cs="Times New Roman"/>
        </w:rPr>
        <w:t xml:space="preserve"> </w:t>
      </w:r>
      <w:r w:rsidR="0066140B" w:rsidRPr="0066140B">
        <w:rPr>
          <w:rFonts w:ascii="Times New Roman" w:hAnsi="Times New Roman" w:cs="Times New Roman"/>
        </w:rPr>
        <w:t>decese sub 75 de ani</w:t>
      </w:r>
      <w:r w:rsidR="00314531">
        <w:rPr>
          <w:rFonts w:ascii="Times New Roman" w:hAnsi="Times New Roman" w:cs="Times New Roman"/>
        </w:rPr>
        <w:t>.</w:t>
      </w:r>
      <w:r w:rsidR="00D12B4A" w:rsidRPr="00573F21">
        <w:rPr>
          <w:rFonts w:ascii="Times New Roman" w:hAnsi="Times New Roman" w:cs="Times New Roman"/>
        </w:rPr>
        <w:t xml:space="preserve">. </w:t>
      </w:r>
      <w:r w:rsidR="00530299" w:rsidRPr="00573F21">
        <w:rPr>
          <w:rFonts w:ascii="Times New Roman" w:hAnsi="Times New Roman" w:cs="Times New Roman"/>
        </w:rPr>
        <w:t>Având în vedere tematica principală selectată pentu celebrarea ZMS 2019 în România – serviciile preventive, î</w:t>
      </w:r>
      <w:r w:rsidR="00D12B4A" w:rsidRPr="00573F21">
        <w:rPr>
          <w:rFonts w:ascii="Times New Roman" w:hAnsi="Times New Roman" w:cs="Times New Roman"/>
        </w:rPr>
        <w:t xml:space="preserve">n continuare vom prezenta doar principalele cauze pentru mortalitatea prevenibilă. </w:t>
      </w:r>
    </w:p>
    <w:p w14:paraId="0DE76DCD" w14:textId="77777777" w:rsidR="00C95664" w:rsidRDefault="00C95664" w:rsidP="00E27D94">
      <w:pPr>
        <w:spacing w:after="0"/>
        <w:jc w:val="both"/>
        <w:rPr>
          <w:rFonts w:ascii="Times New Roman" w:hAnsi="Times New Roman" w:cs="Times New Roman"/>
        </w:rPr>
      </w:pPr>
    </w:p>
    <w:p w14:paraId="026C1091" w14:textId="77777777" w:rsidR="00C95664" w:rsidRDefault="00390B3A" w:rsidP="00D12B4A">
      <w:pPr>
        <w:spacing w:after="0"/>
        <w:jc w:val="center"/>
        <w:rPr>
          <w:rFonts w:ascii="Times New Roman" w:hAnsi="Times New Roman" w:cs="Times New Roman"/>
        </w:rPr>
      </w:pPr>
      <w:r>
        <w:rPr>
          <w:noProof/>
          <w:highlight w:val="yellow"/>
        </w:rPr>
        <w:pict w14:anchorId="1A164D98">
          <v:shapetype id="_x0000_t202" coordsize="21600,21600" o:spt="202" path="m,l,21600r21600,l21600,xe">
            <v:stroke joinstyle="miter"/>
            <v:path gradientshapeok="t" o:connecttype="rect"/>
          </v:shapetype>
          <v:shape id="Text Box 2" o:spid="_x0000_s1026" type="#_x0000_t202" style="position:absolute;left:0;text-align:left;margin-left:65.75pt;margin-top:15.65pt;width:21.25pt;height:22.5pt;z-index:251659264;visibility:visible;mso-wrap-distance-left:9pt;mso-wrap-distance-top:0;mso-wrap-distance-right:9pt;mso-wrap-distance-bottom:0;mso-position-horizontal:absolute;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next-textbox:#Text Box 2">
              <w:txbxContent>
                <w:p w14:paraId="05BC0B9E" w14:textId="77777777" w:rsidR="000C106E" w:rsidRPr="00676683" w:rsidRDefault="000C106E">
                  <w:pPr>
                    <w:rPr>
                      <w:b/>
                    </w:rPr>
                  </w:pPr>
                  <w:r w:rsidRPr="00676683">
                    <w:rPr>
                      <w:b/>
                    </w:rPr>
                    <w:t>%</w:t>
                  </w:r>
                </w:p>
              </w:txbxContent>
            </v:textbox>
          </v:shape>
        </w:pict>
      </w:r>
      <w:r w:rsidR="00D12B4A" w:rsidRPr="00676683">
        <w:rPr>
          <w:noProof/>
          <w:highlight w:val="yellow"/>
          <w:lang w:eastAsia="ro-RO"/>
        </w:rPr>
        <w:drawing>
          <wp:inline distT="0" distB="0" distL="0" distR="0" wp14:anchorId="2E4FE868" wp14:editId="4A93A004">
            <wp:extent cx="4279900" cy="23241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31466E" w14:textId="77777777" w:rsidR="00D12B4A" w:rsidRPr="00D54513" w:rsidRDefault="00D12B4A" w:rsidP="00D12B4A">
      <w:pPr>
        <w:jc w:val="center"/>
        <w:rPr>
          <w:rFonts w:ascii="Times New Roman" w:hAnsi="Times New Roman" w:cs="Times New Roman"/>
          <w:b/>
          <w:sz w:val="20"/>
          <w:szCs w:val="20"/>
        </w:rPr>
      </w:pPr>
      <w:r w:rsidRPr="00D54513">
        <w:rPr>
          <w:rFonts w:ascii="Times New Roman" w:hAnsi="Times New Roman" w:cs="Times New Roman"/>
          <w:b/>
          <w:sz w:val="20"/>
          <w:szCs w:val="20"/>
        </w:rPr>
        <w:t>Figura 1. Principalele cauze</w:t>
      </w:r>
      <w:r w:rsidR="00676683" w:rsidRPr="00D54513">
        <w:rPr>
          <w:rFonts w:ascii="Times New Roman" w:hAnsi="Times New Roman" w:cs="Times New Roman"/>
          <w:b/>
          <w:sz w:val="20"/>
          <w:szCs w:val="20"/>
        </w:rPr>
        <w:t xml:space="preserve"> (%)</w:t>
      </w:r>
      <w:r w:rsidRPr="00D54513">
        <w:rPr>
          <w:rFonts w:ascii="Times New Roman" w:hAnsi="Times New Roman" w:cs="Times New Roman"/>
          <w:b/>
          <w:sz w:val="20"/>
          <w:szCs w:val="20"/>
        </w:rPr>
        <w:t xml:space="preserve"> pentru mortalitatea prevenibilă în Uniunea Europeană, 2015</w:t>
      </w:r>
    </w:p>
    <w:p w14:paraId="3467A980" w14:textId="77777777" w:rsidR="00D12B4A" w:rsidRPr="00D54513" w:rsidRDefault="00D12B4A" w:rsidP="00D12B4A">
      <w:pPr>
        <w:jc w:val="right"/>
        <w:rPr>
          <w:rFonts w:ascii="Times New Roman" w:hAnsi="Times New Roman" w:cs="Times New Roman"/>
          <w:i/>
          <w:sz w:val="20"/>
          <w:szCs w:val="20"/>
        </w:rPr>
      </w:pPr>
      <w:r w:rsidRPr="00D54513">
        <w:rPr>
          <w:rFonts w:ascii="Times New Roman" w:hAnsi="Times New Roman" w:cs="Times New Roman"/>
          <w:i/>
          <w:sz w:val="20"/>
          <w:szCs w:val="20"/>
        </w:rPr>
        <w:t>Sursa datelor: Eurostat</w:t>
      </w:r>
      <w:r w:rsidR="00D54513">
        <w:rPr>
          <w:rFonts w:ascii="Times New Roman" w:hAnsi="Times New Roman" w:cs="Times New Roman"/>
          <w:i/>
          <w:sz w:val="20"/>
          <w:szCs w:val="20"/>
        </w:rPr>
        <w:t xml:space="preserve">; Preluat și adaptat din raportul </w:t>
      </w:r>
      <w:hyperlink r:id="rId11" w:history="1">
        <w:r w:rsidR="00D54513" w:rsidRPr="00D54513">
          <w:rPr>
            <w:rStyle w:val="Hyperlink"/>
            <w:rFonts w:ascii="Times New Roman" w:hAnsi="Times New Roman" w:cs="Times New Roman"/>
            <w:i/>
            <w:sz w:val="20"/>
            <w:szCs w:val="20"/>
          </w:rPr>
          <w:t>Health at a Glance, Europe 2018</w:t>
        </w:r>
      </w:hyperlink>
    </w:p>
    <w:p w14:paraId="07DE6E8B" w14:textId="77777777" w:rsidR="00676683" w:rsidRPr="00C705C8" w:rsidRDefault="00676683" w:rsidP="00676683">
      <w:pPr>
        <w:rPr>
          <w:rFonts w:ascii="Times New Roman" w:hAnsi="Times New Roman" w:cs="Times New Roman"/>
        </w:rPr>
      </w:pPr>
      <w:r w:rsidRPr="00C705C8">
        <w:rPr>
          <w:rFonts w:ascii="Times New Roman" w:hAnsi="Times New Roman" w:cs="Times New Roman"/>
        </w:rPr>
        <w:t xml:space="preserve">Boala cardiacă ischemică (18%), cancerul pulmonar (17%) și accidentele (16%) reprezintă mai mult de jumătate din totalul deceselor prevenibile (Fig. 1).  </w:t>
      </w:r>
    </w:p>
    <w:p w14:paraId="7B437234" w14:textId="77777777" w:rsidR="00D12B4A" w:rsidRDefault="00D12B4A" w:rsidP="00D12B4A">
      <w:pPr>
        <w:spacing w:after="0"/>
        <w:jc w:val="center"/>
        <w:rPr>
          <w:rFonts w:ascii="Times New Roman" w:hAnsi="Times New Roman" w:cs="Times New Roman"/>
        </w:rPr>
      </w:pPr>
      <w:r w:rsidRPr="009E6A5D">
        <w:rPr>
          <w:noProof/>
          <w:color w:val="FF0000"/>
          <w:lang w:eastAsia="ro-RO"/>
        </w:rPr>
        <w:lastRenderedPageBreak/>
        <w:drawing>
          <wp:inline distT="0" distB="0" distL="0" distR="0" wp14:anchorId="1C6EA92C" wp14:editId="5C5CD027">
            <wp:extent cx="3907766" cy="483941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813F6E" w14:textId="77777777" w:rsidR="00530299" w:rsidRPr="00D54513" w:rsidRDefault="00D12B4A" w:rsidP="00D12B4A">
      <w:pPr>
        <w:spacing w:after="0"/>
        <w:jc w:val="center"/>
        <w:rPr>
          <w:rFonts w:ascii="Times New Roman" w:hAnsi="Times New Roman" w:cs="Times New Roman"/>
          <w:b/>
          <w:sz w:val="20"/>
          <w:szCs w:val="20"/>
        </w:rPr>
      </w:pPr>
      <w:r w:rsidRPr="00D54513">
        <w:rPr>
          <w:rFonts w:ascii="Times New Roman" w:hAnsi="Times New Roman" w:cs="Times New Roman"/>
          <w:b/>
          <w:sz w:val="20"/>
          <w:szCs w:val="20"/>
        </w:rPr>
        <w:t xml:space="preserve">Figura 2. </w:t>
      </w:r>
      <w:r w:rsidR="009E6A5D" w:rsidRPr="00D54513">
        <w:rPr>
          <w:rFonts w:ascii="Times New Roman" w:hAnsi="Times New Roman" w:cs="Times New Roman"/>
          <w:b/>
          <w:sz w:val="20"/>
          <w:szCs w:val="20"/>
        </w:rPr>
        <w:t xml:space="preserve">Distribuția ratelor standardizate de mortalitate la 100.000 de locuitori </w:t>
      </w:r>
    </w:p>
    <w:p w14:paraId="2A6B599F" w14:textId="77777777" w:rsidR="00D54513" w:rsidRPr="00D54513" w:rsidRDefault="009E6A5D" w:rsidP="00D54513">
      <w:pPr>
        <w:jc w:val="center"/>
        <w:rPr>
          <w:rFonts w:ascii="Times New Roman" w:hAnsi="Times New Roman" w:cs="Times New Roman"/>
          <w:b/>
          <w:sz w:val="20"/>
          <w:szCs w:val="20"/>
        </w:rPr>
      </w:pPr>
      <w:r w:rsidRPr="00D54513">
        <w:rPr>
          <w:rFonts w:ascii="Times New Roman" w:hAnsi="Times New Roman" w:cs="Times New Roman"/>
          <w:b/>
          <w:sz w:val="20"/>
          <w:szCs w:val="20"/>
        </w:rPr>
        <w:t>pentru decesele prevenibile în cadrul țărilor EU28 în anul 2015</w:t>
      </w:r>
    </w:p>
    <w:p w14:paraId="7359E97F" w14:textId="77777777" w:rsidR="00676683" w:rsidRDefault="00D54513" w:rsidP="00D54513">
      <w:pPr>
        <w:spacing w:after="0"/>
        <w:jc w:val="right"/>
        <w:rPr>
          <w:rFonts w:ascii="Times New Roman" w:hAnsi="Times New Roman" w:cs="Times New Roman"/>
        </w:rPr>
      </w:pPr>
      <w:r w:rsidRPr="00D54513">
        <w:rPr>
          <w:rFonts w:ascii="Times New Roman" w:hAnsi="Times New Roman" w:cs="Times New Roman"/>
          <w:i/>
          <w:sz w:val="20"/>
          <w:szCs w:val="20"/>
        </w:rPr>
        <w:t>Sursa datelor: Eurostat</w:t>
      </w:r>
      <w:r>
        <w:rPr>
          <w:rFonts w:ascii="Times New Roman" w:hAnsi="Times New Roman" w:cs="Times New Roman"/>
          <w:i/>
          <w:sz w:val="20"/>
          <w:szCs w:val="20"/>
        </w:rPr>
        <w:t xml:space="preserve">; Preluat și adaptat din raportul </w:t>
      </w:r>
      <w:hyperlink r:id="rId13" w:history="1">
        <w:r w:rsidRPr="00D54513">
          <w:rPr>
            <w:rStyle w:val="Hyperlink"/>
            <w:rFonts w:ascii="Times New Roman" w:hAnsi="Times New Roman" w:cs="Times New Roman"/>
            <w:i/>
            <w:sz w:val="20"/>
            <w:szCs w:val="20"/>
          </w:rPr>
          <w:t>Health at a Glance, Europe 2018</w:t>
        </w:r>
      </w:hyperlink>
    </w:p>
    <w:p w14:paraId="5B5FAAF1" w14:textId="77777777" w:rsidR="00D54513" w:rsidRPr="000C106E" w:rsidRDefault="00D54513" w:rsidP="00676683">
      <w:pPr>
        <w:spacing w:after="0"/>
        <w:jc w:val="both"/>
        <w:rPr>
          <w:rFonts w:ascii="Times New Roman" w:hAnsi="Times New Roman" w:cs="Times New Roman"/>
        </w:rPr>
      </w:pPr>
    </w:p>
    <w:p w14:paraId="002DB87F" w14:textId="77777777" w:rsidR="00676683" w:rsidRPr="000C106E" w:rsidRDefault="00676683" w:rsidP="00676683">
      <w:pPr>
        <w:spacing w:after="0"/>
        <w:jc w:val="both"/>
        <w:rPr>
          <w:rFonts w:ascii="Times New Roman" w:hAnsi="Times New Roman" w:cs="Times New Roman"/>
        </w:rPr>
      </w:pPr>
      <w:r w:rsidRPr="000C106E">
        <w:rPr>
          <w:rFonts w:ascii="Times New Roman" w:hAnsi="Times New Roman" w:cs="Times New Roman"/>
        </w:rPr>
        <w:t>România se situează pe locul 4 la nivelul țărilor EU28 în ceea ce privește rata standardizată de mortalitate la 100.000 de locuitori pentru decesele prevenibile, având</w:t>
      </w:r>
      <w:r w:rsidR="00530299" w:rsidRPr="000C106E">
        <w:rPr>
          <w:rFonts w:ascii="Times New Roman" w:hAnsi="Times New Roman" w:cs="Times New Roman"/>
        </w:rPr>
        <w:t>,</w:t>
      </w:r>
      <w:r w:rsidRPr="000C106E">
        <w:rPr>
          <w:rFonts w:ascii="Times New Roman" w:hAnsi="Times New Roman" w:cs="Times New Roman"/>
        </w:rPr>
        <w:t xml:space="preserve"> în anul 2015</w:t>
      </w:r>
      <w:r w:rsidR="00530299" w:rsidRPr="000C106E">
        <w:rPr>
          <w:rFonts w:ascii="Times New Roman" w:hAnsi="Times New Roman" w:cs="Times New Roman"/>
        </w:rPr>
        <w:t>,</w:t>
      </w:r>
      <w:r w:rsidRPr="000C106E">
        <w:rPr>
          <w:rFonts w:ascii="Times New Roman" w:hAnsi="Times New Roman" w:cs="Times New Roman"/>
        </w:rPr>
        <w:t xml:space="preserve"> o rată de </w:t>
      </w:r>
      <w:r w:rsidRPr="000C106E">
        <w:rPr>
          <w:rFonts w:ascii="Times New Roman" w:hAnsi="Times New Roman" w:cs="Times New Roman"/>
          <w:b/>
        </w:rPr>
        <w:t>aproximativ 1,7 ori mai mare</w:t>
      </w:r>
      <w:r w:rsidRPr="000C106E">
        <w:rPr>
          <w:rFonts w:ascii="Times New Roman" w:hAnsi="Times New Roman" w:cs="Times New Roman"/>
        </w:rPr>
        <w:t xml:space="preserve"> decât media țărilor EU28. </w:t>
      </w:r>
    </w:p>
    <w:p w14:paraId="750B848D" w14:textId="77777777" w:rsidR="00530299" w:rsidRPr="00FE5C66" w:rsidRDefault="00530299" w:rsidP="00676683">
      <w:pPr>
        <w:spacing w:after="0"/>
        <w:jc w:val="both"/>
        <w:rPr>
          <w:rFonts w:ascii="Times New Roman" w:hAnsi="Times New Roman" w:cs="Times New Roman"/>
          <w:sz w:val="24"/>
          <w:szCs w:val="24"/>
        </w:rPr>
      </w:pPr>
    </w:p>
    <w:p w14:paraId="55E8F9B4" w14:textId="77777777" w:rsidR="00530299" w:rsidRPr="00FE5C66" w:rsidRDefault="00660D53" w:rsidP="00530299">
      <w:pPr>
        <w:pStyle w:val="ListParagraph"/>
        <w:numPr>
          <w:ilvl w:val="0"/>
          <w:numId w:val="21"/>
        </w:numPr>
        <w:spacing w:after="0"/>
        <w:jc w:val="both"/>
        <w:rPr>
          <w:rFonts w:ascii="Times New Roman" w:hAnsi="Times New Roman" w:cs="Times New Roman"/>
          <w:b/>
          <w:sz w:val="24"/>
          <w:szCs w:val="24"/>
        </w:rPr>
      </w:pPr>
      <w:r w:rsidRPr="00FE5C66">
        <w:rPr>
          <w:rFonts w:ascii="Times New Roman" w:hAnsi="Times New Roman" w:cs="Times New Roman"/>
          <w:b/>
          <w:sz w:val="24"/>
          <w:szCs w:val="24"/>
        </w:rPr>
        <w:t>Nivelurile de screening</w:t>
      </w:r>
      <w:r w:rsidR="00263370" w:rsidRPr="00FE5C66">
        <w:rPr>
          <w:rFonts w:ascii="Times New Roman" w:hAnsi="Times New Roman" w:cs="Times New Roman"/>
          <w:b/>
          <w:sz w:val="24"/>
          <w:szCs w:val="24"/>
        </w:rPr>
        <w:t>, supraviețuirea la 5 ani</w:t>
      </w:r>
      <w:r w:rsidRPr="00FE5C66">
        <w:rPr>
          <w:rFonts w:ascii="Times New Roman" w:hAnsi="Times New Roman" w:cs="Times New Roman"/>
          <w:b/>
          <w:sz w:val="24"/>
          <w:szCs w:val="24"/>
        </w:rPr>
        <w:t xml:space="preserve"> </w:t>
      </w:r>
      <w:r w:rsidR="00C34A2F" w:rsidRPr="00FE5C66">
        <w:rPr>
          <w:rFonts w:ascii="Times New Roman" w:hAnsi="Times New Roman" w:cs="Times New Roman"/>
          <w:b/>
          <w:sz w:val="24"/>
          <w:szCs w:val="24"/>
        </w:rPr>
        <w:t>și mortalitea cauzată de cancerul cervical</w:t>
      </w:r>
    </w:p>
    <w:p w14:paraId="65C04694" w14:textId="77777777" w:rsidR="00660D53" w:rsidRPr="00FE5C66" w:rsidRDefault="00C34A2F" w:rsidP="00676683">
      <w:pPr>
        <w:spacing w:after="0"/>
        <w:jc w:val="both"/>
        <w:rPr>
          <w:rFonts w:ascii="Times New Roman" w:hAnsi="Times New Roman" w:cs="Times New Roman"/>
          <w:sz w:val="24"/>
          <w:szCs w:val="24"/>
        </w:rPr>
      </w:pPr>
      <w:r w:rsidRPr="000C106E">
        <w:rPr>
          <w:rFonts w:ascii="Times New Roman" w:hAnsi="Times New Roman" w:cs="Times New Roman"/>
        </w:rPr>
        <w:t>Mai mult de 100.000 de femei din țările</w:t>
      </w:r>
      <w:r w:rsidR="00167629" w:rsidRPr="000C106E">
        <w:rPr>
          <w:rFonts w:ascii="Times New Roman" w:hAnsi="Times New Roman" w:cs="Times New Roman"/>
        </w:rPr>
        <w:t xml:space="preserve"> Uniunii Europene (</w:t>
      </w:r>
      <w:r w:rsidRPr="000C106E">
        <w:rPr>
          <w:rFonts w:ascii="Times New Roman" w:hAnsi="Times New Roman" w:cs="Times New Roman"/>
        </w:rPr>
        <w:t>UE</w:t>
      </w:r>
      <w:r w:rsidR="00167629" w:rsidRPr="000C106E">
        <w:rPr>
          <w:rFonts w:ascii="Times New Roman" w:hAnsi="Times New Roman" w:cs="Times New Roman"/>
        </w:rPr>
        <w:t>)</w:t>
      </w:r>
      <w:r w:rsidRPr="000C106E">
        <w:rPr>
          <w:rFonts w:ascii="Times New Roman" w:hAnsi="Times New Roman" w:cs="Times New Roman"/>
        </w:rPr>
        <w:t xml:space="preserve"> sunt diagnosticate anual cu cancer cervical (de col uterin). Acest tip de cancer este în foarte mare măsură prevenibil dacă celulele precanceroase sunt depistate și tratate înainte de apariția progresiei</w:t>
      </w:r>
      <w:r w:rsidR="00C03729" w:rsidRPr="000C106E">
        <w:rPr>
          <w:rFonts w:ascii="Times New Roman" w:hAnsi="Times New Roman" w:cs="Times New Roman"/>
        </w:rPr>
        <w:t xml:space="preserve"> bolii</w:t>
      </w:r>
      <w:r w:rsidRPr="000C106E">
        <w:rPr>
          <w:rFonts w:ascii="Times New Roman" w:hAnsi="Times New Roman" w:cs="Times New Roman"/>
        </w:rPr>
        <w:t>. Cu toate acestea</w:t>
      </w:r>
      <w:r w:rsidR="00C03729" w:rsidRPr="000C106E">
        <w:rPr>
          <w:rFonts w:ascii="Times New Roman" w:hAnsi="Times New Roman" w:cs="Times New Roman"/>
        </w:rPr>
        <w:t>,</w:t>
      </w:r>
      <w:r w:rsidRPr="000C106E">
        <w:rPr>
          <w:rFonts w:ascii="Times New Roman" w:hAnsi="Times New Roman" w:cs="Times New Roman"/>
        </w:rPr>
        <w:t xml:space="preserve"> procen</w:t>
      </w:r>
      <w:r w:rsidR="00C03729" w:rsidRPr="000C106E">
        <w:rPr>
          <w:rFonts w:ascii="Times New Roman" w:hAnsi="Times New Roman" w:cs="Times New Roman"/>
        </w:rPr>
        <w:t>t</w:t>
      </w:r>
      <w:r w:rsidRPr="000C106E">
        <w:rPr>
          <w:rFonts w:ascii="Times New Roman" w:hAnsi="Times New Roman" w:cs="Times New Roman"/>
        </w:rPr>
        <w:t xml:space="preserve">ul de femei cu vârste cuprinse între 20-69 de ani care au fost incluse în </w:t>
      </w:r>
      <w:r w:rsidR="00660D53" w:rsidRPr="000C106E">
        <w:rPr>
          <w:rFonts w:ascii="Times New Roman" w:hAnsi="Times New Roman" w:cs="Times New Roman"/>
        </w:rPr>
        <w:t xml:space="preserve">programe de </w:t>
      </w:r>
      <w:r w:rsidRPr="000C106E">
        <w:rPr>
          <w:rFonts w:ascii="Times New Roman" w:hAnsi="Times New Roman" w:cs="Times New Roman"/>
        </w:rPr>
        <w:t xml:space="preserve">screening variază de la aproximativ 25% în România și Letonia la peste 80% în Austria și Suedia. </w:t>
      </w:r>
      <w:r w:rsidR="00660D53" w:rsidRPr="000C106E">
        <w:rPr>
          <w:rFonts w:ascii="Times New Roman" w:hAnsi="Times New Roman" w:cs="Times New Roman"/>
        </w:rPr>
        <w:t>Impactul n</w:t>
      </w:r>
      <w:r w:rsidR="00C03729" w:rsidRPr="000C106E">
        <w:rPr>
          <w:rFonts w:ascii="Times New Roman" w:hAnsi="Times New Roman" w:cs="Times New Roman"/>
        </w:rPr>
        <w:t>iveluri</w:t>
      </w:r>
      <w:r w:rsidR="00660D53" w:rsidRPr="000C106E">
        <w:rPr>
          <w:rFonts w:ascii="Times New Roman" w:hAnsi="Times New Roman" w:cs="Times New Roman"/>
        </w:rPr>
        <w:t>lor</w:t>
      </w:r>
      <w:r w:rsidR="00C03729" w:rsidRPr="000C106E">
        <w:rPr>
          <w:rFonts w:ascii="Times New Roman" w:hAnsi="Times New Roman" w:cs="Times New Roman"/>
        </w:rPr>
        <w:t xml:space="preserve"> diferite de acoperir</w:t>
      </w:r>
      <w:r w:rsidR="00660D53" w:rsidRPr="000C106E">
        <w:rPr>
          <w:rFonts w:ascii="Times New Roman" w:hAnsi="Times New Roman" w:cs="Times New Roman"/>
        </w:rPr>
        <w:t>e a sceening-ului pentru cancerul cervical se poate observa în ratele de mortalitate prin această boală care, deși la nivel european au scăzut din anul 2000 în anul 2015 de la 6 la 5.1 la 100.000 de femei, au rămas la valori înalte sau chiar au crescut în țările est-europene</w:t>
      </w:r>
      <w:r w:rsidR="00263370" w:rsidRPr="000C106E">
        <w:rPr>
          <w:rFonts w:ascii="Times New Roman" w:hAnsi="Times New Roman" w:cs="Times New Roman"/>
        </w:rPr>
        <w:t xml:space="preserve"> (Fig. 3). Deși a înregistrat o scădere de la 18 la 16 decese/100.000 femei, </w:t>
      </w:r>
      <w:r w:rsidR="00263370" w:rsidRPr="000C106E">
        <w:rPr>
          <w:rFonts w:ascii="Times New Roman" w:hAnsi="Times New Roman" w:cs="Times New Roman"/>
          <w:b/>
        </w:rPr>
        <w:t>România se menține prima în topul țărilor EU28 în ceea ce privește mortalitatea prin cancer cervical</w:t>
      </w:r>
      <w:r w:rsidR="00263370" w:rsidRPr="000C106E">
        <w:rPr>
          <w:rFonts w:ascii="Times New Roman" w:hAnsi="Times New Roman" w:cs="Times New Roman"/>
        </w:rPr>
        <w:t xml:space="preserve"> (Fig. 3), având o rată triplă față de media europeană (5.1).</w:t>
      </w:r>
      <w:r w:rsidR="00263370" w:rsidRPr="00FE5C66">
        <w:rPr>
          <w:rFonts w:ascii="Times New Roman" w:hAnsi="Times New Roman" w:cs="Times New Roman"/>
          <w:sz w:val="24"/>
          <w:szCs w:val="24"/>
        </w:rPr>
        <w:t xml:space="preserve"> </w:t>
      </w:r>
    </w:p>
    <w:p w14:paraId="1C6093F4" w14:textId="77777777" w:rsidR="00660D53" w:rsidRDefault="00660D53" w:rsidP="00676683">
      <w:pPr>
        <w:spacing w:after="0"/>
        <w:jc w:val="both"/>
        <w:rPr>
          <w:rFonts w:ascii="Times New Roman" w:hAnsi="Times New Roman" w:cs="Times New Roman"/>
        </w:rPr>
      </w:pPr>
    </w:p>
    <w:p w14:paraId="4018B89B" w14:textId="77777777" w:rsidR="00C03729" w:rsidRDefault="00660D53" w:rsidP="00676683">
      <w:pPr>
        <w:spacing w:after="0"/>
        <w:jc w:val="both"/>
        <w:rPr>
          <w:rFonts w:ascii="Times New Roman" w:hAnsi="Times New Roman" w:cs="Times New Roman"/>
        </w:rPr>
      </w:pPr>
      <w:r>
        <w:rPr>
          <w:noProof/>
          <w:lang w:eastAsia="ro-RO"/>
        </w:rPr>
        <w:drawing>
          <wp:inline distT="0" distB="0" distL="0" distR="0" wp14:anchorId="6FAA59D5" wp14:editId="75452F45">
            <wp:extent cx="5760720" cy="176141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rPr>
        <w:t xml:space="preserve"> </w:t>
      </w:r>
    </w:p>
    <w:p w14:paraId="0F6ED84B" w14:textId="77777777" w:rsidR="00263370" w:rsidRDefault="00660D53" w:rsidP="00263370">
      <w:pPr>
        <w:spacing w:after="0"/>
        <w:jc w:val="center"/>
        <w:rPr>
          <w:rFonts w:ascii="Times New Roman" w:hAnsi="Times New Roman" w:cs="Times New Roman"/>
          <w:b/>
          <w:sz w:val="20"/>
          <w:szCs w:val="20"/>
        </w:rPr>
      </w:pPr>
      <w:r w:rsidRPr="00263370">
        <w:rPr>
          <w:rFonts w:ascii="Times New Roman" w:hAnsi="Times New Roman" w:cs="Times New Roman"/>
          <w:b/>
          <w:sz w:val="20"/>
          <w:szCs w:val="20"/>
        </w:rPr>
        <w:t xml:space="preserve">Figura 3. Rata standardizată </w:t>
      </w:r>
      <w:r w:rsidR="00263370">
        <w:rPr>
          <w:rFonts w:ascii="Times New Roman" w:hAnsi="Times New Roman" w:cs="Times New Roman"/>
          <w:b/>
          <w:sz w:val="20"/>
          <w:szCs w:val="20"/>
        </w:rPr>
        <w:t xml:space="preserve">(în funcție de vârstă) </w:t>
      </w:r>
      <w:r w:rsidRPr="00263370">
        <w:rPr>
          <w:rFonts w:ascii="Times New Roman" w:hAnsi="Times New Roman" w:cs="Times New Roman"/>
          <w:b/>
          <w:sz w:val="20"/>
          <w:szCs w:val="20"/>
        </w:rPr>
        <w:t>a mortalității prin cancer cervical</w:t>
      </w:r>
      <w:r w:rsidR="00263370" w:rsidRPr="00263370">
        <w:rPr>
          <w:rFonts w:ascii="Times New Roman" w:hAnsi="Times New Roman" w:cs="Times New Roman"/>
          <w:b/>
          <w:sz w:val="20"/>
          <w:szCs w:val="20"/>
        </w:rPr>
        <w:t>, la 100.000 de femei,</w:t>
      </w:r>
      <w:r w:rsidRPr="00263370">
        <w:rPr>
          <w:rFonts w:ascii="Times New Roman" w:hAnsi="Times New Roman" w:cs="Times New Roman"/>
          <w:b/>
          <w:sz w:val="20"/>
          <w:szCs w:val="20"/>
        </w:rPr>
        <w:t xml:space="preserve"> </w:t>
      </w:r>
    </w:p>
    <w:p w14:paraId="2A6C81C0" w14:textId="77777777" w:rsidR="00676683" w:rsidRDefault="00263370" w:rsidP="00263370">
      <w:pPr>
        <w:jc w:val="center"/>
        <w:rPr>
          <w:rFonts w:ascii="Times New Roman" w:hAnsi="Times New Roman" w:cs="Times New Roman"/>
          <w:b/>
          <w:sz w:val="20"/>
          <w:szCs w:val="20"/>
        </w:rPr>
      </w:pPr>
      <w:r w:rsidRPr="00263370">
        <w:rPr>
          <w:rFonts w:ascii="Times New Roman" w:hAnsi="Times New Roman" w:cs="Times New Roman"/>
          <w:b/>
          <w:sz w:val="20"/>
          <w:szCs w:val="20"/>
        </w:rPr>
        <w:t>în anii 2000 și 2015 la nivelul țărilor EU28</w:t>
      </w:r>
    </w:p>
    <w:p w14:paraId="1FBA67B0" w14:textId="77777777" w:rsidR="00263370" w:rsidRDefault="00263370" w:rsidP="00263370">
      <w:pPr>
        <w:spacing w:after="0"/>
        <w:jc w:val="right"/>
        <w:rPr>
          <w:rFonts w:ascii="Times New Roman" w:hAnsi="Times New Roman" w:cs="Times New Roman"/>
          <w:i/>
          <w:sz w:val="20"/>
          <w:szCs w:val="20"/>
        </w:rPr>
      </w:pPr>
      <w:r w:rsidRPr="00D54513">
        <w:rPr>
          <w:rFonts w:ascii="Times New Roman" w:hAnsi="Times New Roman" w:cs="Times New Roman"/>
          <w:i/>
          <w:sz w:val="20"/>
          <w:szCs w:val="20"/>
        </w:rPr>
        <w:t>Sursa datelor: Eurostat</w:t>
      </w:r>
      <w:r>
        <w:rPr>
          <w:rFonts w:ascii="Times New Roman" w:hAnsi="Times New Roman" w:cs="Times New Roman"/>
          <w:i/>
          <w:sz w:val="20"/>
          <w:szCs w:val="20"/>
        </w:rPr>
        <w:t xml:space="preserve">; Preluat și adaptat din raportul </w:t>
      </w:r>
      <w:hyperlink r:id="rId15" w:history="1">
        <w:r w:rsidRPr="00D54513">
          <w:rPr>
            <w:rStyle w:val="Hyperlink"/>
            <w:rFonts w:ascii="Times New Roman" w:hAnsi="Times New Roman" w:cs="Times New Roman"/>
            <w:i/>
            <w:sz w:val="20"/>
            <w:szCs w:val="20"/>
          </w:rPr>
          <w:t>Health at a Glance, Europe 2018</w:t>
        </w:r>
      </w:hyperlink>
    </w:p>
    <w:p w14:paraId="4D28829C" w14:textId="77777777" w:rsidR="00263370" w:rsidRPr="000C106E" w:rsidRDefault="00263370" w:rsidP="00BA3CAC">
      <w:pPr>
        <w:spacing w:after="0"/>
        <w:jc w:val="both"/>
        <w:rPr>
          <w:rFonts w:ascii="Times New Roman" w:hAnsi="Times New Roman" w:cs="Times New Roman"/>
        </w:rPr>
      </w:pPr>
      <w:r>
        <w:rPr>
          <w:rFonts w:ascii="Times New Roman" w:hAnsi="Times New Roman" w:cs="Times New Roman"/>
          <w:sz w:val="20"/>
          <w:szCs w:val="20"/>
        </w:rPr>
        <w:br/>
      </w:r>
      <w:r w:rsidRPr="000C106E">
        <w:rPr>
          <w:rFonts w:ascii="Times New Roman" w:hAnsi="Times New Roman" w:cs="Times New Roman"/>
        </w:rPr>
        <w:t>Având în vedere faptul că, conform aceluiași raport (Health at a Glance, Europe 2018</w:t>
      </w:r>
      <w:r w:rsidR="00BA3CAC" w:rsidRPr="000C106E">
        <w:rPr>
          <w:rFonts w:ascii="Times New Roman" w:hAnsi="Times New Roman" w:cs="Times New Roman"/>
        </w:rPr>
        <w:t>), rata de supraviețuire (%) la 5 ani</w:t>
      </w:r>
      <w:r w:rsidR="00E521BA" w:rsidRPr="000C106E">
        <w:rPr>
          <w:rFonts w:ascii="Times New Roman" w:hAnsi="Times New Roman" w:cs="Times New Roman"/>
        </w:rPr>
        <w:t>,</w:t>
      </w:r>
      <w:r w:rsidR="00BA3CAC" w:rsidRPr="000C106E">
        <w:rPr>
          <w:rFonts w:ascii="Times New Roman" w:hAnsi="Times New Roman" w:cs="Times New Roman"/>
        </w:rPr>
        <w:t xml:space="preserve"> standardizată în funcție de vârstă</w:t>
      </w:r>
      <w:r w:rsidR="00E521BA" w:rsidRPr="000C106E">
        <w:rPr>
          <w:rFonts w:ascii="Times New Roman" w:hAnsi="Times New Roman" w:cs="Times New Roman"/>
        </w:rPr>
        <w:t>,</w:t>
      </w:r>
      <w:r w:rsidR="00BA3CAC" w:rsidRPr="000C106E">
        <w:rPr>
          <w:rFonts w:ascii="Times New Roman" w:hAnsi="Times New Roman" w:cs="Times New Roman"/>
        </w:rPr>
        <w:t xml:space="preserve"> a fost în intervalul 2010-2014 de 65% în România, mai mare decât media EU28 de 63%, putem concluziona faptul că </w:t>
      </w:r>
      <w:r w:rsidR="00BA3CAC" w:rsidRPr="000C106E">
        <w:rPr>
          <w:rFonts w:ascii="Times New Roman" w:hAnsi="Times New Roman" w:cs="Times New Roman"/>
          <w:b/>
        </w:rPr>
        <w:t>serviciile medicale curative sunt de o calitate comparabilă</w:t>
      </w:r>
      <w:r w:rsidR="00BA3CAC" w:rsidRPr="000C106E">
        <w:rPr>
          <w:rFonts w:ascii="Times New Roman" w:hAnsi="Times New Roman" w:cs="Times New Roman"/>
        </w:rPr>
        <w:t>, impactul serviciilor prevenive, respectiv succesul programelor de (vaccinare și) screening pentru depistarea precoce și tratamentul cancerului cervical fiind însă</w:t>
      </w:r>
      <w:r w:rsidR="0098069F" w:rsidRPr="000C106E">
        <w:rPr>
          <w:rFonts w:ascii="Times New Roman" w:hAnsi="Times New Roman" w:cs="Times New Roman"/>
        </w:rPr>
        <w:t xml:space="preserve"> un factor cheie</w:t>
      </w:r>
      <w:r w:rsidR="00BA3CAC" w:rsidRPr="000C106E">
        <w:rPr>
          <w:rFonts w:ascii="Times New Roman" w:hAnsi="Times New Roman" w:cs="Times New Roman"/>
        </w:rPr>
        <w:t xml:space="preserve"> pentru scăderea mortalității</w:t>
      </w:r>
      <w:r w:rsidR="0098069F" w:rsidRPr="000C106E">
        <w:rPr>
          <w:rFonts w:ascii="Times New Roman" w:hAnsi="Times New Roman" w:cs="Times New Roman"/>
        </w:rPr>
        <w:t xml:space="preserve"> în România</w:t>
      </w:r>
      <w:r w:rsidR="00BA3CAC" w:rsidRPr="000C106E">
        <w:rPr>
          <w:rFonts w:ascii="Times New Roman" w:hAnsi="Times New Roman" w:cs="Times New Roman"/>
        </w:rPr>
        <w:t xml:space="preserve"> prin această </w:t>
      </w:r>
      <w:r w:rsidR="00BA3CAC" w:rsidRPr="000C106E">
        <w:rPr>
          <w:rFonts w:ascii="Times New Roman" w:hAnsi="Times New Roman" w:cs="Times New Roman"/>
          <w:b/>
        </w:rPr>
        <w:t>boală prevenibilă prin vaccinare</w:t>
      </w:r>
      <w:r w:rsidR="00BA3CAC" w:rsidRPr="000C106E">
        <w:rPr>
          <w:rFonts w:ascii="Times New Roman" w:hAnsi="Times New Roman" w:cs="Times New Roman"/>
        </w:rPr>
        <w:t xml:space="preserve">.  </w:t>
      </w:r>
    </w:p>
    <w:p w14:paraId="262772F0" w14:textId="77777777" w:rsidR="00BA3CAC" w:rsidRPr="000C106E" w:rsidRDefault="00BA3CAC" w:rsidP="00BA3CAC">
      <w:pPr>
        <w:spacing w:after="0"/>
        <w:jc w:val="both"/>
        <w:rPr>
          <w:rFonts w:ascii="Times New Roman" w:hAnsi="Times New Roman" w:cs="Times New Roman"/>
        </w:rPr>
      </w:pPr>
      <w:r w:rsidRPr="000C106E">
        <w:rPr>
          <w:rFonts w:ascii="Times New Roman" w:hAnsi="Times New Roman" w:cs="Times New Roman"/>
        </w:rPr>
        <w:t xml:space="preserve">Prezentarea corelației </w:t>
      </w:r>
      <w:r w:rsidR="0098069F" w:rsidRPr="000C106E">
        <w:rPr>
          <w:rFonts w:ascii="Times New Roman" w:hAnsi="Times New Roman" w:cs="Times New Roman"/>
        </w:rPr>
        <w:t>(</w:t>
      </w:r>
      <w:r w:rsidRPr="000C106E">
        <w:rPr>
          <w:rFonts w:ascii="Times New Roman" w:hAnsi="Times New Roman" w:cs="Times New Roman"/>
        </w:rPr>
        <w:t>evidente</w:t>
      </w:r>
      <w:r w:rsidR="0098069F" w:rsidRPr="000C106E">
        <w:rPr>
          <w:rFonts w:ascii="Times New Roman" w:hAnsi="Times New Roman" w:cs="Times New Roman"/>
        </w:rPr>
        <w:t>)</w:t>
      </w:r>
      <w:r w:rsidRPr="000C106E">
        <w:rPr>
          <w:rFonts w:ascii="Times New Roman" w:hAnsi="Times New Roman" w:cs="Times New Roman"/>
        </w:rPr>
        <w:t xml:space="preserve"> între nivelurile de acoperire a screening-ului, mortalitatea și rata de supraviețuire la 5 ani în cazul cancerului cervical se dorește a reprezenta un exemplu ilustrativ pentru </w:t>
      </w:r>
      <w:r w:rsidRPr="000C106E">
        <w:rPr>
          <w:rFonts w:ascii="Times New Roman" w:hAnsi="Times New Roman" w:cs="Times New Roman"/>
          <w:b/>
        </w:rPr>
        <w:t>importanța dezvoltării concomitente a calității și acoperirii atât cu servicii de sănătate curative</w:t>
      </w:r>
      <w:r w:rsidRPr="000C106E">
        <w:rPr>
          <w:rFonts w:ascii="Times New Roman" w:hAnsi="Times New Roman" w:cs="Times New Roman"/>
        </w:rPr>
        <w:t xml:space="preserve"> (tratamente) </w:t>
      </w:r>
      <w:r w:rsidRPr="000C106E">
        <w:rPr>
          <w:rFonts w:ascii="Times New Roman" w:hAnsi="Times New Roman" w:cs="Times New Roman"/>
          <w:b/>
        </w:rPr>
        <w:t>cât și cu servicii de promovare și prevenție</w:t>
      </w:r>
      <w:r w:rsidRPr="000C106E">
        <w:rPr>
          <w:rFonts w:ascii="Times New Roman" w:hAnsi="Times New Roman" w:cs="Times New Roman"/>
        </w:rPr>
        <w:t xml:space="preserve"> (în acest caz vaccinare și screening). </w:t>
      </w:r>
    </w:p>
    <w:p w14:paraId="527139FA" w14:textId="77777777" w:rsidR="0098069F" w:rsidRPr="00FE5C66" w:rsidRDefault="0098069F" w:rsidP="00BA3CAC">
      <w:pPr>
        <w:spacing w:after="0"/>
        <w:jc w:val="both"/>
        <w:rPr>
          <w:rFonts w:ascii="Times New Roman" w:hAnsi="Times New Roman" w:cs="Times New Roman"/>
          <w:sz w:val="24"/>
          <w:szCs w:val="24"/>
        </w:rPr>
      </w:pPr>
    </w:p>
    <w:p w14:paraId="5CCA0F06" w14:textId="77777777" w:rsidR="00BA3CAC" w:rsidRPr="00FE5C66" w:rsidRDefault="00C612D4" w:rsidP="0098069F">
      <w:pPr>
        <w:pStyle w:val="ListParagraph"/>
        <w:numPr>
          <w:ilvl w:val="0"/>
          <w:numId w:val="21"/>
        </w:numPr>
        <w:spacing w:after="0"/>
        <w:jc w:val="both"/>
        <w:rPr>
          <w:rFonts w:ascii="Times New Roman" w:hAnsi="Times New Roman" w:cs="Times New Roman"/>
          <w:b/>
          <w:sz w:val="24"/>
          <w:szCs w:val="24"/>
        </w:rPr>
      </w:pPr>
      <w:r w:rsidRPr="00FE5C66">
        <w:rPr>
          <w:rFonts w:ascii="Times New Roman" w:hAnsi="Times New Roman" w:cs="Times New Roman"/>
          <w:b/>
          <w:sz w:val="24"/>
          <w:szCs w:val="24"/>
        </w:rPr>
        <w:t>Nivelurile</w:t>
      </w:r>
      <w:r w:rsidR="0098069F" w:rsidRPr="00FE5C66">
        <w:rPr>
          <w:rFonts w:ascii="Times New Roman" w:hAnsi="Times New Roman" w:cs="Times New Roman"/>
          <w:b/>
          <w:sz w:val="24"/>
          <w:szCs w:val="24"/>
        </w:rPr>
        <w:t xml:space="preserve"> de finanțare </w:t>
      </w:r>
      <w:r w:rsidRPr="00FE5C66">
        <w:rPr>
          <w:rFonts w:ascii="Times New Roman" w:hAnsi="Times New Roman" w:cs="Times New Roman"/>
          <w:b/>
          <w:sz w:val="24"/>
          <w:szCs w:val="24"/>
        </w:rPr>
        <w:t>a diferitelor tipuri</w:t>
      </w:r>
      <w:r w:rsidR="0098069F" w:rsidRPr="00FE5C66">
        <w:rPr>
          <w:rFonts w:ascii="Times New Roman" w:hAnsi="Times New Roman" w:cs="Times New Roman"/>
          <w:b/>
          <w:sz w:val="24"/>
          <w:szCs w:val="24"/>
        </w:rPr>
        <w:t xml:space="preserve"> de servicii de sănătate </w:t>
      </w:r>
    </w:p>
    <w:p w14:paraId="4EAF45E6" w14:textId="77777777" w:rsidR="00524FF5" w:rsidRPr="000C106E" w:rsidRDefault="00C612D4" w:rsidP="00524FF5">
      <w:pPr>
        <w:spacing w:after="0"/>
        <w:jc w:val="both"/>
        <w:rPr>
          <w:rFonts w:ascii="Times New Roman" w:hAnsi="Times New Roman" w:cs="Times New Roman"/>
        </w:rPr>
      </w:pPr>
      <w:r w:rsidRPr="000C106E">
        <w:rPr>
          <w:rFonts w:ascii="Times New Roman" w:hAnsi="Times New Roman" w:cs="Times New Roman"/>
        </w:rPr>
        <w:t>Î</w:t>
      </w:r>
      <w:r w:rsidR="0098069F" w:rsidRPr="000C106E">
        <w:rPr>
          <w:rFonts w:ascii="Times New Roman" w:hAnsi="Times New Roman" w:cs="Times New Roman"/>
        </w:rPr>
        <w:t>n anul</w:t>
      </w:r>
      <w:r w:rsidRPr="000C106E">
        <w:rPr>
          <w:rFonts w:ascii="Times New Roman" w:hAnsi="Times New Roman" w:cs="Times New Roman"/>
        </w:rPr>
        <w:t xml:space="preserve"> 2016, la nivelul Uniunii Europene, State Membre cheltuiau în medie aproximativ 60% din totalul bugetului sistemului de sănătate pentru servicii curative și de recuperare (tratamente), 20% pentru medicamente, 13 pentru îngrijiri pe termen lung. Restul de </w:t>
      </w:r>
      <w:r w:rsidRPr="000C106E">
        <w:rPr>
          <w:rFonts w:ascii="Times New Roman" w:hAnsi="Times New Roman" w:cs="Times New Roman"/>
          <w:b/>
        </w:rPr>
        <w:t>doar 7%</w:t>
      </w:r>
      <w:r w:rsidRPr="000C106E">
        <w:rPr>
          <w:rFonts w:ascii="Times New Roman" w:hAnsi="Times New Roman" w:cs="Times New Roman"/>
        </w:rPr>
        <w:t xml:space="preserve"> erau alocați pentru servicii colective, precum servicii de prevenție, de promovare a sănătății, de administrare și guvernare a sistemului de sănătate (Fig. 4)</w:t>
      </w:r>
      <w:r w:rsidR="00524FF5" w:rsidRPr="000C106E">
        <w:rPr>
          <w:rFonts w:ascii="Times New Roman" w:hAnsi="Times New Roman" w:cs="Times New Roman"/>
        </w:rPr>
        <w:t xml:space="preserve">. </w:t>
      </w:r>
    </w:p>
    <w:p w14:paraId="351977E6" w14:textId="77777777" w:rsidR="00616EA7" w:rsidRDefault="00524FF5" w:rsidP="00524FF5">
      <w:pPr>
        <w:spacing w:after="0"/>
        <w:jc w:val="both"/>
        <w:rPr>
          <w:rFonts w:ascii="Times New Roman" w:hAnsi="Times New Roman" w:cs="Times New Roman"/>
        </w:rPr>
      </w:pPr>
      <w:r w:rsidRPr="000C106E">
        <w:rPr>
          <w:rFonts w:ascii="Times New Roman" w:hAnsi="Times New Roman" w:cs="Times New Roman"/>
        </w:rPr>
        <w:t>În România, serviciile de îngrijri medicale acordate în spitale sau ambulatorii au totalizat 69% din totalul cheltuielor cu serviciile de sănătate, în timp ce pentru serviicii colective (promovare, prevenție, administație) au fost aloc</w:t>
      </w:r>
      <w:r w:rsidR="00FE5C66" w:rsidRPr="000C106E">
        <w:rPr>
          <w:rFonts w:ascii="Times New Roman" w:hAnsi="Times New Roman" w:cs="Times New Roman"/>
        </w:rPr>
        <w:t>ați doar 6% din buget (Fig. 4).</w:t>
      </w:r>
    </w:p>
    <w:p w14:paraId="74237568" w14:textId="77777777" w:rsidR="000C106E" w:rsidRPr="000C106E" w:rsidRDefault="000C106E" w:rsidP="00524FF5">
      <w:pPr>
        <w:spacing w:after="0"/>
        <w:jc w:val="both"/>
        <w:rPr>
          <w:rFonts w:ascii="Times New Roman" w:hAnsi="Times New Roman" w:cs="Times New Roman"/>
        </w:rPr>
        <w:sectPr w:rsidR="000C106E" w:rsidRPr="000C106E" w:rsidSect="00821422">
          <w:headerReference w:type="default" r:id="rId16"/>
          <w:footerReference w:type="default" r:id="rId17"/>
          <w:pgSz w:w="11906" w:h="16838"/>
          <w:pgMar w:top="1417" w:right="1417" w:bottom="1417" w:left="1417" w:header="708" w:footer="708" w:gutter="0"/>
          <w:cols w:space="708"/>
          <w:docGrid w:linePitch="360"/>
        </w:sectPr>
      </w:pPr>
    </w:p>
    <w:p w14:paraId="0F5C03CE" w14:textId="77777777" w:rsidR="00C612D4" w:rsidRDefault="00C612D4" w:rsidP="00C612D4">
      <w:pPr>
        <w:spacing w:after="0"/>
        <w:jc w:val="both"/>
        <w:rPr>
          <w:rFonts w:ascii="Times New Roman" w:hAnsi="Times New Roman" w:cs="Times New Roman"/>
        </w:rPr>
      </w:pPr>
    </w:p>
    <w:p w14:paraId="580AB466" w14:textId="77777777" w:rsidR="00616EA7" w:rsidRDefault="00616EA7" w:rsidP="00616EA7">
      <w:pPr>
        <w:rPr>
          <w:noProof/>
          <w:lang w:eastAsia="ro-RO"/>
        </w:rPr>
      </w:pPr>
      <w:r w:rsidRPr="00E64F80">
        <w:rPr>
          <w:noProof/>
          <w:color w:val="FF0000"/>
          <w:lang w:eastAsia="ro-RO"/>
        </w:rPr>
        <w:drawing>
          <wp:inline distT="0" distB="0" distL="0" distR="0" wp14:anchorId="43E8DD73" wp14:editId="57846595">
            <wp:extent cx="8718332" cy="446164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B7A098" w14:textId="77777777" w:rsidR="00524FF5" w:rsidRDefault="00616EA7" w:rsidP="00616EA7">
      <w:pPr>
        <w:jc w:val="center"/>
        <w:rPr>
          <w:rFonts w:ascii="Times New Roman" w:hAnsi="Times New Roman" w:cs="Times New Roman"/>
          <w:b/>
          <w:noProof/>
          <w:sz w:val="20"/>
          <w:szCs w:val="20"/>
          <w:lang w:eastAsia="ro-RO"/>
        </w:rPr>
      </w:pPr>
      <w:r>
        <w:rPr>
          <w:rFonts w:ascii="Times New Roman" w:hAnsi="Times New Roman" w:cs="Times New Roman"/>
          <w:b/>
          <w:noProof/>
          <w:sz w:val="20"/>
          <w:szCs w:val="20"/>
          <w:lang w:eastAsia="ro-RO"/>
        </w:rPr>
        <w:t>Figura 4</w:t>
      </w:r>
      <w:r w:rsidRPr="00616EA7">
        <w:rPr>
          <w:rFonts w:ascii="Times New Roman" w:hAnsi="Times New Roman" w:cs="Times New Roman"/>
          <w:b/>
          <w:noProof/>
          <w:sz w:val="20"/>
          <w:szCs w:val="20"/>
          <w:lang w:eastAsia="ro-RO"/>
        </w:rPr>
        <w:t>. Distr</w:t>
      </w:r>
      <w:r w:rsidR="00524FF5">
        <w:rPr>
          <w:rFonts w:ascii="Times New Roman" w:hAnsi="Times New Roman" w:cs="Times New Roman"/>
          <w:b/>
          <w:noProof/>
          <w:sz w:val="20"/>
          <w:szCs w:val="20"/>
          <w:lang w:eastAsia="ro-RO"/>
        </w:rPr>
        <w:t>ibuția costurilor diferitelor</w:t>
      </w:r>
      <w:r w:rsidRPr="00616EA7">
        <w:rPr>
          <w:rFonts w:ascii="Times New Roman" w:hAnsi="Times New Roman" w:cs="Times New Roman"/>
          <w:b/>
          <w:noProof/>
          <w:sz w:val="20"/>
          <w:szCs w:val="20"/>
          <w:lang w:eastAsia="ro-RO"/>
        </w:rPr>
        <w:t xml:space="preserve"> tipuri de servicii de sănătate la nivelul țărilor EU28 în anul 2016</w:t>
      </w:r>
    </w:p>
    <w:p w14:paraId="7898C480" w14:textId="77777777" w:rsidR="00524FF5" w:rsidRDefault="00524FF5" w:rsidP="00524FF5">
      <w:pPr>
        <w:spacing w:after="0"/>
        <w:jc w:val="right"/>
        <w:rPr>
          <w:rFonts w:ascii="Times New Roman" w:hAnsi="Times New Roman" w:cs="Times New Roman"/>
        </w:rPr>
      </w:pPr>
      <w:r w:rsidRPr="00D54513">
        <w:rPr>
          <w:rFonts w:ascii="Times New Roman" w:hAnsi="Times New Roman" w:cs="Times New Roman"/>
          <w:i/>
          <w:sz w:val="20"/>
          <w:szCs w:val="20"/>
        </w:rPr>
        <w:t>Sursa datelor: Eurostat</w:t>
      </w:r>
      <w:r>
        <w:rPr>
          <w:rFonts w:ascii="Times New Roman" w:hAnsi="Times New Roman" w:cs="Times New Roman"/>
          <w:i/>
          <w:sz w:val="20"/>
          <w:szCs w:val="20"/>
        </w:rPr>
        <w:t xml:space="preserve">; Preluat și adaptat din raportul </w:t>
      </w:r>
      <w:hyperlink r:id="rId19" w:history="1">
        <w:r w:rsidRPr="00D54513">
          <w:rPr>
            <w:rStyle w:val="Hyperlink"/>
            <w:rFonts w:ascii="Times New Roman" w:hAnsi="Times New Roman" w:cs="Times New Roman"/>
            <w:i/>
            <w:sz w:val="20"/>
            <w:szCs w:val="20"/>
          </w:rPr>
          <w:t>Health at a Glance, Europe 2018</w:t>
        </w:r>
      </w:hyperlink>
    </w:p>
    <w:p w14:paraId="17B7682D" w14:textId="77777777" w:rsidR="00616EA7" w:rsidRPr="00616EA7" w:rsidRDefault="00616EA7" w:rsidP="00616EA7">
      <w:pPr>
        <w:jc w:val="center"/>
        <w:rPr>
          <w:rFonts w:ascii="Times New Roman" w:hAnsi="Times New Roman" w:cs="Times New Roman"/>
          <w:b/>
          <w:noProof/>
          <w:sz w:val="20"/>
          <w:szCs w:val="20"/>
          <w:lang w:eastAsia="ro-RO"/>
        </w:rPr>
      </w:pPr>
      <w:r w:rsidRPr="00616EA7">
        <w:rPr>
          <w:rFonts w:ascii="Times New Roman" w:hAnsi="Times New Roman" w:cs="Times New Roman"/>
          <w:b/>
          <w:noProof/>
          <w:sz w:val="20"/>
          <w:szCs w:val="20"/>
          <w:lang w:eastAsia="ro-RO"/>
        </w:rPr>
        <w:br w:type="page"/>
      </w:r>
    </w:p>
    <w:p w14:paraId="72243B9E" w14:textId="77777777" w:rsidR="00616EA7" w:rsidRDefault="00616EA7" w:rsidP="00C612D4">
      <w:pPr>
        <w:spacing w:after="0"/>
        <w:jc w:val="both"/>
        <w:rPr>
          <w:rFonts w:ascii="Times New Roman" w:hAnsi="Times New Roman" w:cs="Times New Roman"/>
        </w:rPr>
        <w:sectPr w:rsidR="00616EA7" w:rsidSect="00616EA7">
          <w:pgSz w:w="16838" w:h="11906" w:orient="landscape"/>
          <w:pgMar w:top="1417" w:right="1417" w:bottom="1417" w:left="1417" w:header="708" w:footer="708" w:gutter="0"/>
          <w:cols w:space="708"/>
          <w:docGrid w:linePitch="360"/>
        </w:sectPr>
      </w:pPr>
    </w:p>
    <w:p w14:paraId="73102238" w14:textId="77777777" w:rsidR="00616EA7" w:rsidRDefault="00616EA7" w:rsidP="00C612D4">
      <w:pPr>
        <w:spacing w:after="0"/>
        <w:jc w:val="both"/>
        <w:rPr>
          <w:rFonts w:ascii="Times New Roman" w:hAnsi="Times New Roman" w:cs="Times New Roman"/>
        </w:rPr>
      </w:pPr>
    </w:p>
    <w:p w14:paraId="4CFDA811" w14:textId="77777777" w:rsidR="00C612D4" w:rsidRPr="000C106E" w:rsidRDefault="00524FF5" w:rsidP="00C612D4">
      <w:pPr>
        <w:spacing w:after="0"/>
        <w:jc w:val="both"/>
        <w:rPr>
          <w:rFonts w:ascii="Times New Roman" w:hAnsi="Times New Roman" w:cs="Times New Roman"/>
        </w:rPr>
      </w:pPr>
      <w:r w:rsidRPr="000C106E">
        <w:rPr>
          <w:rFonts w:ascii="Times New Roman" w:hAnsi="Times New Roman" w:cs="Times New Roman"/>
        </w:rPr>
        <w:t>În ceea ce privește evoluția finanțării diferitelor tipuri de servicii de sănătate la nivelul Uniunii Europene, se poate observa de asemenea (Fig. 5), o importanță sporită acordată serviciilor curative (care prezintă creșteri succesive în anii analizați) față de serviciile preventive, care au prezentat creșteri urmate de scăderi (fiind, de altfel, singurele categorii de servicii care au prezentat scăderi, alături de medicamente).</w:t>
      </w:r>
    </w:p>
    <w:p w14:paraId="3A257968" w14:textId="77777777" w:rsidR="00524FF5" w:rsidRDefault="00524FF5" w:rsidP="00C612D4">
      <w:pPr>
        <w:spacing w:after="0"/>
        <w:jc w:val="both"/>
        <w:rPr>
          <w:rFonts w:ascii="Times New Roman" w:hAnsi="Times New Roman" w:cs="Times New Roman"/>
        </w:rPr>
      </w:pPr>
    </w:p>
    <w:p w14:paraId="4AAF4D78" w14:textId="77777777" w:rsidR="00524FF5" w:rsidRDefault="00524FF5" w:rsidP="00C612D4">
      <w:pPr>
        <w:spacing w:after="0"/>
        <w:jc w:val="both"/>
        <w:rPr>
          <w:rFonts w:ascii="Times New Roman" w:hAnsi="Times New Roman" w:cs="Times New Roman"/>
        </w:rPr>
      </w:pPr>
      <w:r>
        <w:rPr>
          <w:noProof/>
          <w:lang w:eastAsia="ro-RO"/>
        </w:rPr>
        <w:drawing>
          <wp:inline distT="0" distB="0" distL="0" distR="0" wp14:anchorId="5B2E12DC" wp14:editId="11966BF3">
            <wp:extent cx="5760720" cy="2665389"/>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3BC165" w14:textId="77777777" w:rsidR="00E64F80" w:rsidRDefault="00524FF5" w:rsidP="00E64F80">
      <w:pPr>
        <w:spacing w:after="0"/>
        <w:jc w:val="center"/>
        <w:rPr>
          <w:rFonts w:ascii="Times New Roman" w:hAnsi="Times New Roman" w:cs="Times New Roman"/>
          <w:b/>
          <w:sz w:val="20"/>
          <w:szCs w:val="20"/>
        </w:rPr>
      </w:pPr>
      <w:r w:rsidRPr="00E64F80">
        <w:rPr>
          <w:rFonts w:ascii="Times New Roman" w:hAnsi="Times New Roman" w:cs="Times New Roman"/>
          <w:b/>
          <w:sz w:val="20"/>
          <w:szCs w:val="20"/>
        </w:rPr>
        <w:t xml:space="preserve">Figura 5. Rata de creștere a costurilor/capita pentru diferitele tipuri de servicii de sănătate </w:t>
      </w:r>
    </w:p>
    <w:p w14:paraId="09772081" w14:textId="77777777" w:rsidR="00524FF5" w:rsidRPr="00E64F80" w:rsidRDefault="00524FF5" w:rsidP="00E64F80">
      <w:pPr>
        <w:jc w:val="center"/>
        <w:rPr>
          <w:rFonts w:ascii="Times New Roman" w:hAnsi="Times New Roman" w:cs="Times New Roman"/>
          <w:b/>
          <w:sz w:val="20"/>
          <w:szCs w:val="20"/>
        </w:rPr>
      </w:pPr>
      <w:r w:rsidRPr="00E64F80">
        <w:rPr>
          <w:rFonts w:ascii="Times New Roman" w:hAnsi="Times New Roman" w:cs="Times New Roman"/>
          <w:b/>
          <w:sz w:val="20"/>
          <w:szCs w:val="20"/>
        </w:rPr>
        <w:t>la nivel european în perioada 2004-2016</w:t>
      </w:r>
    </w:p>
    <w:p w14:paraId="3A269C0D" w14:textId="77777777" w:rsidR="00E64F80" w:rsidRDefault="00E64F80" w:rsidP="00E64F80">
      <w:pPr>
        <w:spacing w:after="0"/>
        <w:jc w:val="right"/>
        <w:rPr>
          <w:rFonts w:ascii="Times New Roman" w:hAnsi="Times New Roman" w:cs="Times New Roman"/>
        </w:rPr>
      </w:pPr>
      <w:r w:rsidRPr="00D54513">
        <w:rPr>
          <w:rFonts w:ascii="Times New Roman" w:hAnsi="Times New Roman" w:cs="Times New Roman"/>
          <w:i/>
          <w:sz w:val="20"/>
          <w:szCs w:val="20"/>
        </w:rPr>
        <w:t>Sursa datelor: Eurostat</w:t>
      </w:r>
      <w:r>
        <w:rPr>
          <w:rFonts w:ascii="Times New Roman" w:hAnsi="Times New Roman" w:cs="Times New Roman"/>
          <w:i/>
          <w:sz w:val="20"/>
          <w:szCs w:val="20"/>
        </w:rPr>
        <w:t xml:space="preserve">; Preluat și adaptat din raportul </w:t>
      </w:r>
      <w:hyperlink r:id="rId21" w:history="1">
        <w:r w:rsidRPr="00D54513">
          <w:rPr>
            <w:rStyle w:val="Hyperlink"/>
            <w:rFonts w:ascii="Times New Roman" w:hAnsi="Times New Roman" w:cs="Times New Roman"/>
            <w:i/>
            <w:sz w:val="20"/>
            <w:szCs w:val="20"/>
          </w:rPr>
          <w:t>Health at a Glance, Europe 2018</w:t>
        </w:r>
      </w:hyperlink>
    </w:p>
    <w:p w14:paraId="763D787C" w14:textId="77777777" w:rsidR="00524FF5" w:rsidRDefault="00524FF5" w:rsidP="00C612D4">
      <w:pPr>
        <w:spacing w:after="0"/>
        <w:jc w:val="both"/>
        <w:rPr>
          <w:rFonts w:ascii="Times New Roman" w:hAnsi="Times New Roman" w:cs="Times New Roman"/>
        </w:rPr>
      </w:pPr>
    </w:p>
    <w:p w14:paraId="2F441E1D" w14:textId="77777777" w:rsidR="00C612D4" w:rsidRPr="000C106E" w:rsidRDefault="00E64F80" w:rsidP="00C612D4">
      <w:pPr>
        <w:spacing w:after="0"/>
        <w:jc w:val="both"/>
        <w:rPr>
          <w:rFonts w:ascii="Times New Roman" w:hAnsi="Times New Roman" w:cs="Times New Roman"/>
        </w:rPr>
      </w:pPr>
      <w:r w:rsidRPr="000C106E">
        <w:rPr>
          <w:rFonts w:ascii="Times New Roman" w:hAnsi="Times New Roman" w:cs="Times New Roman"/>
        </w:rPr>
        <w:t xml:space="preserve">Media europeană a nivelurilor de finanțare ale diferitelor tipuri de servicii de sănătate și ratele medii de creștere a costurilor la nivel european ilustrează un dezechilibru în favoarea serviciilor curative și de recuperare, serviciilor preventive fiindu-le alocat un procent mic din bugetul total al sistemuluide sănătate, în ciuda dovezilor privind importanța și eficacitatea (în termeni de ani de viață câștigați și costuri diminuate) acestora.    </w:t>
      </w:r>
    </w:p>
    <w:p w14:paraId="63441C1E" w14:textId="77777777" w:rsidR="00703E13" w:rsidRDefault="00703E13" w:rsidP="00C612D4">
      <w:pPr>
        <w:spacing w:after="0"/>
        <w:jc w:val="both"/>
        <w:rPr>
          <w:rFonts w:ascii="Times New Roman" w:hAnsi="Times New Roman" w:cs="Times New Roman"/>
          <w:sz w:val="24"/>
          <w:szCs w:val="24"/>
        </w:rPr>
      </w:pPr>
    </w:p>
    <w:p w14:paraId="46F7A615" w14:textId="77777777" w:rsidR="0088230D" w:rsidRPr="00703E13" w:rsidRDefault="00703E13" w:rsidP="00703E13">
      <w:pPr>
        <w:pStyle w:val="ListParagraph"/>
        <w:numPr>
          <w:ilvl w:val="0"/>
          <w:numId w:val="21"/>
        </w:numPr>
        <w:spacing w:after="0"/>
        <w:jc w:val="both"/>
        <w:rPr>
          <w:rFonts w:ascii="Times New Roman" w:hAnsi="Times New Roman" w:cs="Times New Roman"/>
          <w:b/>
          <w:sz w:val="24"/>
          <w:szCs w:val="24"/>
        </w:rPr>
      </w:pPr>
      <w:r w:rsidRPr="00703E13">
        <w:rPr>
          <w:rFonts w:ascii="Times New Roman" w:hAnsi="Times New Roman" w:cs="Times New Roman"/>
          <w:b/>
          <w:sz w:val="24"/>
          <w:szCs w:val="24"/>
        </w:rPr>
        <w:t>Impactul economic pozitiv al serviciilor preventive</w:t>
      </w:r>
    </w:p>
    <w:p w14:paraId="25AB3EC9" w14:textId="77777777" w:rsidR="009B59AC" w:rsidRPr="000C106E" w:rsidRDefault="0088230D" w:rsidP="00C612D4">
      <w:pPr>
        <w:spacing w:after="0"/>
        <w:jc w:val="both"/>
        <w:rPr>
          <w:rFonts w:ascii="Times New Roman" w:hAnsi="Times New Roman" w:cs="Times New Roman"/>
        </w:rPr>
      </w:pPr>
      <w:r w:rsidRPr="000C106E">
        <w:rPr>
          <w:rFonts w:ascii="Times New Roman" w:hAnsi="Times New Roman" w:cs="Times New Roman"/>
        </w:rPr>
        <w:t>În prezent, argumentul economic pentru creșterea investițiilor în serviciile de promovare a sănătății și prevenție a bolilor cronice este mai puternic decât oricând. Bolile cronice reprezintă principala cauză de mortalitate și dizabilitate la nivel mondial. De asemenea, cei mai importanți factori de risc pentru aceste boli sunt, în mare măsură, prevenibili și există dovezi certe asupra beneficiilor economice consecutive adresării timpurii a acestor factori de risc. Câteva dintre acestea, printre cele mai ilustrative, sunt:</w:t>
      </w:r>
    </w:p>
    <w:p w14:paraId="35945F9D" w14:textId="77777777" w:rsidR="0088230D" w:rsidRPr="000C106E" w:rsidRDefault="0088230D" w:rsidP="0088230D">
      <w:pPr>
        <w:pStyle w:val="ListParagraph"/>
        <w:numPr>
          <w:ilvl w:val="0"/>
          <w:numId w:val="40"/>
        </w:numPr>
        <w:spacing w:after="0"/>
        <w:jc w:val="both"/>
        <w:rPr>
          <w:rFonts w:ascii="Times New Roman" w:hAnsi="Times New Roman" w:cs="Times New Roman"/>
        </w:rPr>
      </w:pPr>
      <w:r w:rsidRPr="00E80F71">
        <w:rPr>
          <w:rFonts w:ascii="Times New Roman" w:hAnsi="Times New Roman" w:cs="Times New Roman"/>
          <w:b/>
        </w:rPr>
        <w:t>Creșterea prețului țigărilor</w:t>
      </w:r>
      <w:r w:rsidRPr="000C106E">
        <w:rPr>
          <w:rFonts w:ascii="Times New Roman" w:hAnsi="Times New Roman" w:cs="Times New Roman"/>
        </w:rPr>
        <w:t xml:space="preserve"> la nivelul Uniunii Europene în medie cu 5,50$ ar salva sut</w:t>
      </w:r>
      <w:r w:rsidR="00BC7A05">
        <w:rPr>
          <w:rFonts w:ascii="Times New Roman" w:hAnsi="Times New Roman" w:cs="Times New Roman"/>
        </w:rPr>
        <w:t>e de mii de vieți în fiecare an</w:t>
      </w:r>
      <w:r w:rsidRPr="000C106E">
        <w:rPr>
          <w:rFonts w:ascii="Times New Roman" w:hAnsi="Times New Roman" w:cs="Times New Roman"/>
        </w:rPr>
        <w:t xml:space="preserve">. </w:t>
      </w:r>
    </w:p>
    <w:p w14:paraId="1824E586" w14:textId="77777777" w:rsidR="00703E13" w:rsidRPr="000C106E" w:rsidRDefault="0088230D" w:rsidP="00703E13">
      <w:pPr>
        <w:pStyle w:val="ListParagraph"/>
        <w:numPr>
          <w:ilvl w:val="0"/>
          <w:numId w:val="40"/>
        </w:numPr>
        <w:spacing w:after="0"/>
        <w:jc w:val="both"/>
        <w:rPr>
          <w:rFonts w:ascii="Times New Roman" w:hAnsi="Times New Roman" w:cs="Times New Roman"/>
        </w:rPr>
      </w:pPr>
      <w:r w:rsidRPr="000C106E">
        <w:rPr>
          <w:rFonts w:ascii="Times New Roman" w:hAnsi="Times New Roman" w:cs="Times New Roman"/>
        </w:rPr>
        <w:t xml:space="preserve">Mai mult de </w:t>
      </w:r>
      <w:r w:rsidRPr="00E80F71">
        <w:rPr>
          <w:rFonts w:ascii="Times New Roman" w:hAnsi="Times New Roman" w:cs="Times New Roman"/>
        </w:rPr>
        <w:t>10.000 de ani de viață sănătoasă</w:t>
      </w:r>
      <w:r w:rsidRPr="000C106E">
        <w:rPr>
          <w:rFonts w:ascii="Times New Roman" w:hAnsi="Times New Roman" w:cs="Times New Roman"/>
        </w:rPr>
        <w:t xml:space="preserve"> ar putea fi ”câștigați” în Europa de Vest în fiecare an, și mai mulți de atât în Europa de Est, cu costuri neglijabile, prin </w:t>
      </w:r>
      <w:r w:rsidRPr="00E80F71">
        <w:rPr>
          <w:rFonts w:ascii="Times New Roman" w:hAnsi="Times New Roman" w:cs="Times New Roman"/>
          <w:b/>
        </w:rPr>
        <w:t xml:space="preserve">limitarea expunerii copiilor la </w:t>
      </w:r>
      <w:r w:rsidR="00703E13" w:rsidRPr="00E80F71">
        <w:rPr>
          <w:rFonts w:ascii="Times New Roman" w:hAnsi="Times New Roman" w:cs="Times New Roman"/>
          <w:b/>
        </w:rPr>
        <w:t>publicitatea la mâncăruri și băuturi bogate în sare, zahăr și grăsimi</w:t>
      </w:r>
      <w:r w:rsidR="00703E13" w:rsidRPr="000C106E">
        <w:rPr>
          <w:rFonts w:ascii="Times New Roman" w:hAnsi="Times New Roman" w:cs="Times New Roman"/>
        </w:rPr>
        <w:t>.</w:t>
      </w:r>
    </w:p>
    <w:p w14:paraId="5A861733" w14:textId="77777777" w:rsidR="00703E13" w:rsidRPr="000C106E" w:rsidRDefault="00703E13" w:rsidP="00703E13">
      <w:pPr>
        <w:pStyle w:val="ListParagraph"/>
        <w:numPr>
          <w:ilvl w:val="0"/>
          <w:numId w:val="40"/>
        </w:numPr>
        <w:spacing w:after="0"/>
        <w:jc w:val="both"/>
        <w:rPr>
          <w:rFonts w:ascii="Times New Roman" w:hAnsi="Times New Roman" w:cs="Times New Roman"/>
        </w:rPr>
      </w:pPr>
      <w:r w:rsidRPr="000C106E">
        <w:rPr>
          <w:rFonts w:ascii="Times New Roman" w:hAnsi="Times New Roman" w:cs="Times New Roman"/>
        </w:rPr>
        <w:t xml:space="preserve">Reducerea aportului de sare prin reglementare și reformularea produselor alimentare a condus la câștigarea a </w:t>
      </w:r>
      <w:r w:rsidRPr="00E80F71">
        <w:rPr>
          <w:rFonts w:ascii="Times New Roman" w:hAnsi="Times New Roman" w:cs="Times New Roman"/>
        </w:rPr>
        <w:t>44.000 de ani de viață sănătoasă</w:t>
      </w:r>
      <w:r w:rsidRPr="000C106E">
        <w:rPr>
          <w:rFonts w:ascii="Times New Roman" w:hAnsi="Times New Roman" w:cs="Times New Roman"/>
        </w:rPr>
        <w:t xml:space="preserve"> în Anglia, concomitent cu o reducere a costurilor în sistemul medical care a depășit cu mult costurile de implementare a programului de </w:t>
      </w:r>
      <w:r w:rsidRPr="00E80F71">
        <w:rPr>
          <w:rFonts w:ascii="Times New Roman" w:hAnsi="Times New Roman" w:cs="Times New Roman"/>
          <w:b/>
        </w:rPr>
        <w:t>reducere a aportului de sare</w:t>
      </w:r>
      <w:r w:rsidRPr="000C106E">
        <w:rPr>
          <w:rFonts w:ascii="Times New Roman" w:hAnsi="Times New Roman" w:cs="Times New Roman"/>
        </w:rPr>
        <w:t xml:space="preserve">. </w:t>
      </w:r>
    </w:p>
    <w:p w14:paraId="6534F157" w14:textId="77777777" w:rsidR="00703E13" w:rsidRPr="000C106E" w:rsidRDefault="00703E13" w:rsidP="00703E13">
      <w:pPr>
        <w:pStyle w:val="ListParagraph"/>
        <w:numPr>
          <w:ilvl w:val="0"/>
          <w:numId w:val="40"/>
        </w:numPr>
        <w:spacing w:after="0"/>
        <w:jc w:val="both"/>
        <w:rPr>
          <w:rFonts w:ascii="Times New Roman" w:hAnsi="Times New Roman" w:cs="Times New Roman"/>
        </w:rPr>
      </w:pPr>
      <w:r w:rsidRPr="00E80F71">
        <w:rPr>
          <w:rFonts w:ascii="Times New Roman" w:hAnsi="Times New Roman" w:cs="Times New Roman"/>
          <w:b/>
        </w:rPr>
        <w:lastRenderedPageBreak/>
        <w:t>Accidentele rutiere implică costuri de până la 3% din produsul intern brut al țărilor europene,  costurile măsurilor care adresează aceste evenimente putând fi acoperite într-o perioadă de 5 până la 10 ani</w:t>
      </w:r>
      <w:r w:rsidRPr="000C106E">
        <w:rPr>
          <w:rFonts w:ascii="Times New Roman" w:hAnsi="Times New Roman" w:cs="Times New Roman"/>
        </w:rPr>
        <w:t xml:space="preserve">. </w:t>
      </w:r>
    </w:p>
    <w:p w14:paraId="3B1B9370" w14:textId="77777777" w:rsidR="00703E13" w:rsidRPr="000C106E" w:rsidRDefault="00703E13" w:rsidP="00703E13">
      <w:pPr>
        <w:pStyle w:val="ListParagraph"/>
        <w:numPr>
          <w:ilvl w:val="0"/>
          <w:numId w:val="40"/>
        </w:numPr>
        <w:spacing w:after="0"/>
        <w:jc w:val="both"/>
        <w:rPr>
          <w:rFonts w:ascii="Times New Roman" w:hAnsi="Times New Roman" w:cs="Times New Roman"/>
        </w:rPr>
      </w:pPr>
      <w:r w:rsidRPr="000C106E">
        <w:rPr>
          <w:rFonts w:ascii="Times New Roman" w:hAnsi="Times New Roman" w:cs="Times New Roman"/>
        </w:rPr>
        <w:t xml:space="preserve">Beneficiile economice și cele legate de sănătate generate de </w:t>
      </w:r>
      <w:r w:rsidRPr="00E80F71">
        <w:rPr>
          <w:rFonts w:ascii="Times New Roman" w:hAnsi="Times New Roman" w:cs="Times New Roman"/>
          <w:b/>
        </w:rPr>
        <w:t>reglementarea expunerii copiilor și adulților la substanțe chimice periculoase</w:t>
      </w:r>
      <w:r w:rsidRPr="000C106E">
        <w:rPr>
          <w:rFonts w:ascii="Times New Roman" w:hAnsi="Times New Roman" w:cs="Times New Roman"/>
        </w:rPr>
        <w:t xml:space="preserve"> depășesc de 10 ori costurile implementării unor astfel de măsuri de reglementare</w:t>
      </w:r>
      <w:r w:rsidR="000C106E">
        <w:rPr>
          <w:rStyle w:val="FootnoteReference"/>
          <w:rFonts w:ascii="Times New Roman" w:hAnsi="Times New Roman" w:cs="Times New Roman"/>
        </w:rPr>
        <w:footnoteReference w:id="17"/>
      </w:r>
      <w:r w:rsidRPr="000C106E">
        <w:rPr>
          <w:rFonts w:ascii="Times New Roman" w:hAnsi="Times New Roman" w:cs="Times New Roman"/>
        </w:rPr>
        <w:t xml:space="preserve">.  </w:t>
      </w:r>
    </w:p>
    <w:p w14:paraId="49E52B52" w14:textId="77777777" w:rsidR="00C612D4" w:rsidRPr="00703E13" w:rsidRDefault="00703E13" w:rsidP="00C612D4">
      <w:pPr>
        <w:spacing w:after="0"/>
        <w:jc w:val="both"/>
        <w:rPr>
          <w:rFonts w:ascii="Times New Roman" w:hAnsi="Times New Roman" w:cs="Times New Roman"/>
          <w:sz w:val="24"/>
          <w:szCs w:val="24"/>
        </w:rPr>
      </w:pPr>
      <w:r w:rsidRPr="00703E13">
        <w:rPr>
          <w:rFonts w:ascii="Times New Roman" w:hAnsi="Times New Roman" w:cs="Times New Roman"/>
          <w:sz w:val="24"/>
          <w:szCs w:val="24"/>
        </w:rPr>
        <w:t xml:space="preserve"> </w:t>
      </w:r>
    </w:p>
    <w:p w14:paraId="77BBCC84" w14:textId="77777777" w:rsidR="00A44E51" w:rsidRDefault="00F52349" w:rsidP="0057327C">
      <w:pPr>
        <w:pStyle w:val="ListParagraph"/>
        <w:numPr>
          <w:ilvl w:val="0"/>
          <w:numId w:val="3"/>
        </w:numPr>
        <w:spacing w:after="0"/>
        <w:rPr>
          <w:rFonts w:ascii="Times New Roman" w:hAnsi="Times New Roman" w:cs="Times New Roman"/>
          <w:b/>
          <w:sz w:val="28"/>
          <w:szCs w:val="28"/>
        </w:rPr>
      </w:pPr>
      <w:r>
        <w:rPr>
          <w:rFonts w:ascii="Times New Roman" w:hAnsi="Times New Roman" w:cs="Times New Roman"/>
          <w:b/>
          <w:sz w:val="28"/>
          <w:szCs w:val="28"/>
        </w:rPr>
        <w:t>Date statistice la nivel național</w:t>
      </w:r>
      <w:r w:rsidR="000A2787">
        <w:rPr>
          <w:rFonts w:ascii="Times New Roman" w:hAnsi="Times New Roman" w:cs="Times New Roman"/>
          <w:b/>
          <w:sz w:val="28"/>
          <w:szCs w:val="28"/>
        </w:rPr>
        <w:t>: dinam</w:t>
      </w:r>
      <w:r w:rsidR="00633C64">
        <w:rPr>
          <w:rFonts w:ascii="Times New Roman" w:hAnsi="Times New Roman" w:cs="Times New Roman"/>
          <w:b/>
          <w:sz w:val="28"/>
          <w:szCs w:val="28"/>
        </w:rPr>
        <w:t>i</w:t>
      </w:r>
      <w:r w:rsidR="000A2787">
        <w:rPr>
          <w:rFonts w:ascii="Times New Roman" w:hAnsi="Times New Roman" w:cs="Times New Roman"/>
          <w:b/>
          <w:sz w:val="28"/>
          <w:szCs w:val="28"/>
        </w:rPr>
        <w:t>ca</w:t>
      </w:r>
      <w:r w:rsidR="00014418">
        <w:rPr>
          <w:rFonts w:ascii="Times New Roman" w:hAnsi="Times New Roman" w:cs="Times New Roman"/>
          <w:b/>
          <w:sz w:val="28"/>
          <w:szCs w:val="28"/>
        </w:rPr>
        <w:t xml:space="preserve"> ultimilor</w:t>
      </w:r>
      <w:r w:rsidR="000A2787">
        <w:rPr>
          <w:rFonts w:ascii="Times New Roman" w:hAnsi="Times New Roman" w:cs="Times New Roman"/>
          <w:b/>
          <w:sz w:val="28"/>
          <w:szCs w:val="28"/>
        </w:rPr>
        <w:t xml:space="preserve"> 10 ani</w:t>
      </w:r>
    </w:p>
    <w:p w14:paraId="7AA1DB16" w14:textId="77777777" w:rsidR="00670079" w:rsidRDefault="00670079"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p>
    <w:p w14:paraId="2E5ED401" w14:textId="77777777" w:rsidR="002508F2" w:rsidRPr="00FE5C66" w:rsidRDefault="002508F2" w:rsidP="002508F2">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FE5C66">
        <w:rPr>
          <w:rFonts w:ascii="Times New Roman" w:hAnsi="Times New Roman" w:cs="Times New Roman"/>
          <w:b/>
          <w:sz w:val="24"/>
          <w:szCs w:val="24"/>
        </w:rPr>
        <w:t>Starea de sănătate și principali factori de risc</w:t>
      </w:r>
    </w:p>
    <w:p w14:paraId="06F7EB54" w14:textId="77777777" w:rsidR="00167629" w:rsidRPr="000C106E" w:rsidRDefault="00167629" w:rsidP="00250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C106E">
        <w:rPr>
          <w:rFonts w:ascii="Times New Roman" w:hAnsi="Times New Roman" w:cs="Times New Roman"/>
        </w:rPr>
        <w:t>Conform profilului de țară la României în domeniul sănătății, elaborat în anul 2017 de către Organziația pentru Cooperare și Dezvoltare Economică (OCDE) în colaborare cu Observatorul european pentru sisteme și politici de sănătate și Comisia Europeană</w:t>
      </w:r>
      <w:r w:rsidR="000C106E">
        <w:rPr>
          <w:rStyle w:val="FootnoteReference"/>
          <w:rFonts w:ascii="Times New Roman" w:hAnsi="Times New Roman" w:cs="Times New Roman"/>
        </w:rPr>
        <w:footnoteReference w:id="18"/>
      </w:r>
      <w:r w:rsidRPr="000C106E">
        <w:rPr>
          <w:rFonts w:ascii="Times New Roman" w:hAnsi="Times New Roman" w:cs="Times New Roman"/>
        </w:rPr>
        <w:t xml:space="preserve">, </w:t>
      </w:r>
      <w:r w:rsidRPr="000C106E">
        <w:rPr>
          <w:rFonts w:ascii="Times New Roman" w:hAnsi="Times New Roman" w:cs="Times New Roman"/>
          <w:b/>
        </w:rPr>
        <w:t>speranța de viață la naștere</w:t>
      </w:r>
      <w:r w:rsidRPr="000C106E">
        <w:rPr>
          <w:rFonts w:ascii="Times New Roman" w:hAnsi="Times New Roman" w:cs="Times New Roman"/>
        </w:rPr>
        <w:t xml:space="preserve"> a crescut de la 71,2 ani în anul 2000 la 75 de ani în anul 2015, rămânând însă </w:t>
      </w:r>
      <w:r w:rsidRPr="000C106E">
        <w:rPr>
          <w:rFonts w:ascii="Times New Roman" w:hAnsi="Times New Roman" w:cs="Times New Roman"/>
          <w:b/>
        </w:rPr>
        <w:t>printre cele mai scăzute din UE</w:t>
      </w:r>
      <w:r w:rsidRPr="000C106E">
        <w:rPr>
          <w:rFonts w:ascii="Times New Roman" w:hAnsi="Times New Roman" w:cs="Times New Roman"/>
        </w:rPr>
        <w:t xml:space="preserve"> (media UE: 80,6 ani în anul 2015). </w:t>
      </w:r>
    </w:p>
    <w:p w14:paraId="0D24EA01" w14:textId="77777777" w:rsidR="00167629" w:rsidRPr="000C106E" w:rsidRDefault="00167629"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0C106E">
        <w:rPr>
          <w:rFonts w:ascii="Times New Roman" w:hAnsi="Times New Roman" w:cs="Times New Roman"/>
        </w:rPr>
        <w:t xml:space="preserve">Mortalitatea infantilă este de două ori mai mare față de media UE, bolile cardiace și accidentele vasculare cerebrale sunt principalele cauze de mortalitate, decesele prin unele forme de cancer prezentând de asemenea creșteri semnificative. </w:t>
      </w:r>
    </w:p>
    <w:p w14:paraId="5C31ED5F" w14:textId="77777777" w:rsidR="00167629" w:rsidRPr="000C106E" w:rsidRDefault="00743DED"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0C106E">
        <w:rPr>
          <w:rFonts w:ascii="Times New Roman" w:hAnsi="Times New Roman" w:cs="Times New Roman"/>
        </w:rPr>
        <w:t xml:space="preserve">În ceea ce privește principalii factori de risc, peste </w:t>
      </w:r>
      <w:r w:rsidRPr="000C106E">
        <w:rPr>
          <w:rFonts w:ascii="Times New Roman" w:hAnsi="Times New Roman" w:cs="Times New Roman"/>
          <w:b/>
        </w:rPr>
        <w:t>40% din povara generală a bolii</w:t>
      </w:r>
      <w:r w:rsidRPr="000C106E">
        <w:rPr>
          <w:rFonts w:ascii="Times New Roman" w:hAnsi="Times New Roman" w:cs="Times New Roman"/>
        </w:rPr>
        <w:t xml:space="preserve"> în România, măsurată în ani de viață ajustați pentru dizabilitate (disability adjusted life years – DALY), poate fi </w:t>
      </w:r>
      <w:r w:rsidRPr="000C106E">
        <w:rPr>
          <w:rFonts w:ascii="Times New Roman" w:hAnsi="Times New Roman" w:cs="Times New Roman"/>
          <w:b/>
        </w:rPr>
        <w:t>atribuită factorilor de risc comportamentali</w:t>
      </w:r>
      <w:r w:rsidRPr="000C106E">
        <w:rPr>
          <w:rFonts w:ascii="Times New Roman" w:hAnsi="Times New Roman" w:cs="Times New Roman"/>
        </w:rPr>
        <w:t>, respectiv fumatul, consumul de alcool, alimentației nesănătoase și activității fizice scăzute</w:t>
      </w:r>
      <w:r w:rsidR="000C106E">
        <w:rPr>
          <w:rStyle w:val="FootnoteReference"/>
          <w:rFonts w:ascii="Times New Roman" w:hAnsi="Times New Roman" w:cs="Times New Roman"/>
        </w:rPr>
        <w:footnoteReference w:id="19"/>
      </w:r>
      <w:r w:rsidRPr="000C106E">
        <w:rPr>
          <w:rFonts w:ascii="Times New Roman" w:hAnsi="Times New Roman" w:cs="Times New Roman"/>
        </w:rPr>
        <w:t xml:space="preserve">. Raportat la nivel european, cele mai importante probleme sunt reprezentate de </w:t>
      </w:r>
      <w:r w:rsidRPr="000C106E">
        <w:rPr>
          <w:rFonts w:ascii="Times New Roman" w:hAnsi="Times New Roman" w:cs="Times New Roman"/>
          <w:b/>
        </w:rPr>
        <w:t>consumul de alcool episodic excesiv</w:t>
      </w:r>
      <w:r w:rsidRPr="000C106E">
        <w:rPr>
          <w:rFonts w:ascii="Times New Roman" w:hAnsi="Times New Roman" w:cs="Times New Roman"/>
        </w:rPr>
        <w:t xml:space="preserve">, care în anul 2014 înregistra </w:t>
      </w:r>
      <w:r w:rsidRPr="000C106E">
        <w:rPr>
          <w:rFonts w:ascii="Times New Roman" w:hAnsi="Times New Roman" w:cs="Times New Roman"/>
          <w:b/>
        </w:rPr>
        <w:t>53% în rândul bărbaților din România, cel mai mare procent din toate țările UE</w:t>
      </w:r>
      <w:r w:rsidRPr="000C106E">
        <w:rPr>
          <w:rFonts w:ascii="Times New Roman" w:hAnsi="Times New Roman" w:cs="Times New Roman"/>
        </w:rPr>
        <w:t xml:space="preserve">, respectiv de </w:t>
      </w:r>
      <w:r w:rsidRPr="000C106E">
        <w:rPr>
          <w:rFonts w:ascii="Times New Roman" w:hAnsi="Times New Roman" w:cs="Times New Roman"/>
          <w:b/>
        </w:rPr>
        <w:t>obezitatea în rândul adolescenților</w:t>
      </w:r>
      <w:r w:rsidRPr="000C106E">
        <w:rPr>
          <w:rFonts w:ascii="Times New Roman" w:hAnsi="Times New Roman" w:cs="Times New Roman"/>
        </w:rPr>
        <w:t xml:space="preserve">, care, deși se situează încă sub media UE, </w:t>
      </w:r>
      <w:r w:rsidRPr="000C106E">
        <w:rPr>
          <w:rFonts w:ascii="Times New Roman" w:hAnsi="Times New Roman" w:cs="Times New Roman"/>
          <w:b/>
        </w:rPr>
        <w:t>s-a dublat în ultimul deceniu</w:t>
      </w:r>
      <w:r w:rsidRPr="000C106E">
        <w:rPr>
          <w:rFonts w:ascii="Times New Roman" w:hAnsi="Times New Roman" w:cs="Times New Roman"/>
        </w:rPr>
        <w:t>, de la 7% în 2005-2006 la 14% în 2013-2014</w:t>
      </w:r>
      <w:r w:rsidR="000C106E">
        <w:rPr>
          <w:rStyle w:val="FootnoteReference"/>
          <w:rFonts w:ascii="Times New Roman" w:hAnsi="Times New Roman" w:cs="Times New Roman"/>
        </w:rPr>
        <w:footnoteReference w:id="20"/>
      </w:r>
      <w:r w:rsidRPr="000C106E">
        <w:rPr>
          <w:rFonts w:ascii="Times New Roman" w:hAnsi="Times New Roman" w:cs="Times New Roman"/>
        </w:rPr>
        <w:t xml:space="preserve">. </w:t>
      </w:r>
    </w:p>
    <w:p w14:paraId="60DCCE3F" w14:textId="77777777" w:rsidR="00324D97" w:rsidRPr="000C106E" w:rsidRDefault="00C1139A"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0C106E">
        <w:rPr>
          <w:rFonts w:ascii="Times New Roman" w:hAnsi="Times New Roman" w:cs="Times New Roman"/>
          <w:b/>
        </w:rPr>
        <w:t>Nivelul de finanțare a sistemului de sănătate din România este cel mai scăzut din UE</w:t>
      </w:r>
      <w:r w:rsidRPr="000C106E">
        <w:rPr>
          <w:rFonts w:ascii="Times New Roman" w:hAnsi="Times New Roman" w:cs="Times New Roman"/>
        </w:rPr>
        <w:t>, atât ca procent din produsul intern brut (4,9%) cât și ca sumă absolută cheltuită anual pe cap de locuitor pentru servicii de sănătate, 814 euro, sub o treime din media UE și cea mai scăzută valoare dintre toate statele membre</w:t>
      </w:r>
      <w:r w:rsidR="000C106E">
        <w:rPr>
          <w:rFonts w:ascii="Times New Roman" w:hAnsi="Times New Roman" w:cs="Times New Roman"/>
          <w:vertAlign w:val="superscript"/>
        </w:rPr>
        <w:t>19</w:t>
      </w:r>
      <w:r w:rsidRPr="000C106E">
        <w:rPr>
          <w:rFonts w:ascii="Times New Roman" w:hAnsi="Times New Roman" w:cs="Times New Roman"/>
        </w:rPr>
        <w:t xml:space="preserve">. </w:t>
      </w:r>
    </w:p>
    <w:p w14:paraId="11E13D91" w14:textId="77777777" w:rsidR="002508F2" w:rsidRPr="00FE5C66" w:rsidRDefault="002508F2" w:rsidP="00921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14:paraId="0903A372" w14:textId="77777777" w:rsidR="002508F2" w:rsidRPr="000C106E" w:rsidRDefault="002508F2" w:rsidP="009210D1">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FE5C66">
        <w:rPr>
          <w:rFonts w:ascii="Times New Roman" w:hAnsi="Times New Roman" w:cs="Times New Roman"/>
          <w:b/>
          <w:sz w:val="24"/>
          <w:szCs w:val="24"/>
        </w:rPr>
        <w:t>Situația personalului medical angrenat în preponderent în oferirea de servicii de prevenție</w:t>
      </w:r>
    </w:p>
    <w:p w14:paraId="6BA1EFA1" w14:textId="77777777" w:rsidR="009210D1" w:rsidRPr="000C106E" w:rsidRDefault="009210D1" w:rsidP="00921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C106E">
        <w:rPr>
          <w:rFonts w:ascii="Times New Roman" w:hAnsi="Times New Roman" w:cs="Times New Roman"/>
        </w:rPr>
        <w:t>În ceea ce privește acoperirea cu servicii de sănătate, în România există un deficit de personal medical, în special în regiunile defavorizate. Astfel, numărul de medici și asistenţi medicali este relativ scăzut comparativ cu mediile UE: 2,8 doctori per 1 000 de locuitori, comparativ cu 3,5 în UE, ș</w:t>
      </w:r>
      <w:r w:rsidR="002F0DD8">
        <w:rPr>
          <w:rFonts w:ascii="Times New Roman" w:hAnsi="Times New Roman" w:cs="Times New Roman"/>
        </w:rPr>
        <w:t>i 6,4 asistenţi medicali per 1</w:t>
      </w:r>
      <w:r w:rsidRPr="000C106E">
        <w:rPr>
          <w:rFonts w:ascii="Times New Roman" w:hAnsi="Times New Roman" w:cs="Times New Roman"/>
        </w:rPr>
        <w:t xml:space="preserve">000 de locuitori vs. 8,4 în UE (Fig. 6). </w:t>
      </w:r>
    </w:p>
    <w:p w14:paraId="3E72DB90" w14:textId="77777777" w:rsidR="009210D1" w:rsidRDefault="009210D1"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p>
    <w:p w14:paraId="575E08B0" w14:textId="77777777" w:rsidR="009210D1" w:rsidRDefault="009210D1"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o-RO"/>
        </w:rPr>
        <w:lastRenderedPageBreak/>
        <w:drawing>
          <wp:inline distT="0" distB="0" distL="0" distR="0" wp14:anchorId="155E8FD8" wp14:editId="67C11BF2">
            <wp:extent cx="5760720" cy="323405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34054"/>
                    </a:xfrm>
                    <a:prstGeom prst="rect">
                      <a:avLst/>
                    </a:prstGeom>
                    <a:noFill/>
                    <a:ln>
                      <a:noFill/>
                    </a:ln>
                  </pic:spPr>
                </pic:pic>
              </a:graphicData>
            </a:graphic>
          </wp:inline>
        </w:drawing>
      </w:r>
    </w:p>
    <w:p w14:paraId="4D803EEC" w14:textId="77777777" w:rsidR="009210D1" w:rsidRDefault="009210D1" w:rsidP="009210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0"/>
          <w:szCs w:val="20"/>
        </w:rPr>
      </w:pPr>
      <w:r w:rsidRPr="009210D1">
        <w:rPr>
          <w:rFonts w:ascii="Times New Roman" w:hAnsi="Times New Roman" w:cs="Times New Roman"/>
          <w:b/>
          <w:sz w:val="20"/>
          <w:szCs w:val="20"/>
        </w:rPr>
        <w:t>Figura 6. Numărul de medici și asistenți medicali din România, raportat la țările UE</w:t>
      </w:r>
    </w:p>
    <w:p w14:paraId="4BFACEA8" w14:textId="77777777" w:rsidR="009210D1" w:rsidRDefault="009210D1" w:rsidP="009210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cs="Times New Roman"/>
          <w:b/>
          <w:sz w:val="20"/>
          <w:szCs w:val="20"/>
        </w:rPr>
      </w:pPr>
    </w:p>
    <w:p w14:paraId="6FD6E496" w14:textId="77777777" w:rsidR="009210D1" w:rsidRPr="009210D1" w:rsidRDefault="009210D1" w:rsidP="009210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right"/>
        <w:rPr>
          <w:rFonts w:ascii="Times New Roman" w:hAnsi="Times New Roman" w:cs="Times New Roman"/>
          <w:b/>
          <w:sz w:val="20"/>
          <w:szCs w:val="20"/>
        </w:rPr>
      </w:pPr>
      <w:r w:rsidRPr="009210D1">
        <w:rPr>
          <w:rFonts w:ascii="Times New Roman" w:hAnsi="Times New Roman" w:cs="Times New Roman"/>
          <w:i/>
          <w:sz w:val="20"/>
          <w:szCs w:val="20"/>
        </w:rPr>
        <w:t>Sursa datel</w:t>
      </w:r>
      <w:r>
        <w:rPr>
          <w:rFonts w:ascii="Times New Roman" w:hAnsi="Times New Roman" w:cs="Times New Roman"/>
          <w:i/>
          <w:sz w:val="20"/>
          <w:szCs w:val="20"/>
        </w:rPr>
        <w:t>or: Eurostat; Preluat din profilul de țară al României, 2017</w:t>
      </w:r>
    </w:p>
    <w:p w14:paraId="220C3B5D" w14:textId="77777777" w:rsidR="00C62B07" w:rsidRDefault="00C62B07"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p>
    <w:p w14:paraId="4A4E35C7" w14:textId="77777777" w:rsidR="00C62B07" w:rsidRPr="000C106E" w:rsidRDefault="00C62B07"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0C106E">
        <w:rPr>
          <w:rFonts w:ascii="Times New Roman" w:hAnsi="Times New Roman" w:cs="Times New Roman"/>
        </w:rPr>
        <w:t xml:space="preserve">Pentru aprecierea importanței acordate serviciilor preventive și a potențialului acestora de a contribui la scăderea poverii prin boli cauze de factori de risc prevenibili, vom prezenta în continuare o serie de statistici legate de </w:t>
      </w:r>
      <w:r w:rsidRPr="000C106E">
        <w:rPr>
          <w:rFonts w:ascii="Times New Roman" w:hAnsi="Times New Roman" w:cs="Times New Roman"/>
          <w:b/>
        </w:rPr>
        <w:t>personalul medical implicat în mod preponderent în</w:t>
      </w:r>
      <w:r w:rsidR="002508F2" w:rsidRPr="000C106E">
        <w:rPr>
          <w:rFonts w:ascii="Times New Roman" w:hAnsi="Times New Roman" w:cs="Times New Roman"/>
          <w:b/>
        </w:rPr>
        <w:t xml:space="preserve"> oferirea de servicii preventive în cadrul asistenței medicale primare</w:t>
      </w:r>
      <w:r w:rsidRPr="000C106E">
        <w:rPr>
          <w:rFonts w:ascii="Times New Roman" w:hAnsi="Times New Roman" w:cs="Times New Roman"/>
          <w:b/>
        </w:rPr>
        <w:t>, respectiv medicii de familie, asistenții medicali comunitari, me</w:t>
      </w:r>
      <w:r w:rsidR="00C43818" w:rsidRPr="000C106E">
        <w:rPr>
          <w:rFonts w:ascii="Times New Roman" w:hAnsi="Times New Roman" w:cs="Times New Roman"/>
          <w:b/>
        </w:rPr>
        <w:t>diatorii sanitari și medicii cu competență în medicină școlară</w:t>
      </w:r>
      <w:r w:rsidRPr="000C106E">
        <w:rPr>
          <w:rFonts w:ascii="Times New Roman" w:hAnsi="Times New Roman" w:cs="Times New Roman"/>
        </w:rPr>
        <w:t xml:space="preserve">. </w:t>
      </w:r>
    </w:p>
    <w:p w14:paraId="3571E8B6" w14:textId="77777777" w:rsidR="00385642" w:rsidRPr="000C106E" w:rsidRDefault="002A127C"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0C106E">
        <w:rPr>
          <w:rFonts w:ascii="Times New Roman" w:hAnsi="Times New Roman" w:cs="Times New Roman"/>
        </w:rPr>
        <w:t xml:space="preserve">În ceea ce privește </w:t>
      </w:r>
      <w:r w:rsidR="00C62B07" w:rsidRPr="000C106E">
        <w:rPr>
          <w:rFonts w:ascii="Times New Roman" w:hAnsi="Times New Roman" w:cs="Times New Roman"/>
        </w:rPr>
        <w:t>medicii de familie</w:t>
      </w:r>
      <w:r w:rsidRPr="000C106E">
        <w:rPr>
          <w:rFonts w:ascii="Times New Roman" w:hAnsi="Times New Roman" w:cs="Times New Roman"/>
        </w:rPr>
        <w:t>, conform statisticilor Eurostat</w:t>
      </w:r>
      <w:r w:rsidR="000C106E">
        <w:rPr>
          <w:rStyle w:val="FootnoteReference"/>
          <w:rFonts w:ascii="Times New Roman" w:hAnsi="Times New Roman" w:cs="Times New Roman"/>
        </w:rPr>
        <w:footnoteReference w:id="21"/>
      </w:r>
      <w:r w:rsidRPr="000C106E">
        <w:rPr>
          <w:rFonts w:ascii="Times New Roman" w:hAnsi="Times New Roman" w:cs="Times New Roman"/>
        </w:rPr>
        <w:t>, în România</w:t>
      </w:r>
      <w:r w:rsidR="00355817" w:rsidRPr="000C106E">
        <w:rPr>
          <w:rFonts w:ascii="Times New Roman" w:hAnsi="Times New Roman" w:cs="Times New Roman"/>
        </w:rPr>
        <w:t>,</w:t>
      </w:r>
      <w:r w:rsidRPr="000C106E">
        <w:rPr>
          <w:rFonts w:ascii="Times New Roman" w:hAnsi="Times New Roman" w:cs="Times New Roman"/>
        </w:rPr>
        <w:t xml:space="preserve"> în anul 2016</w:t>
      </w:r>
      <w:r w:rsidR="00355817" w:rsidRPr="000C106E">
        <w:rPr>
          <w:rFonts w:ascii="Times New Roman" w:hAnsi="Times New Roman" w:cs="Times New Roman"/>
        </w:rPr>
        <w:t>,</w:t>
      </w:r>
      <w:r w:rsidRPr="000C106E">
        <w:rPr>
          <w:rFonts w:ascii="Times New Roman" w:hAnsi="Times New Roman" w:cs="Times New Roman"/>
        </w:rPr>
        <w:t xml:space="preserve"> numărul </w:t>
      </w:r>
      <w:r w:rsidR="00C62B07" w:rsidRPr="000C106E">
        <w:rPr>
          <w:rFonts w:ascii="Times New Roman" w:hAnsi="Times New Roman" w:cs="Times New Roman"/>
        </w:rPr>
        <w:t xml:space="preserve">acestora era de 77,2 </w:t>
      </w:r>
      <w:r w:rsidRPr="000C106E">
        <w:rPr>
          <w:rFonts w:ascii="Times New Roman" w:hAnsi="Times New Roman" w:cs="Times New Roman"/>
        </w:rPr>
        <w:t>la 100.000 de locuitori, sub media țărilor UE de 98,7.</w:t>
      </w:r>
    </w:p>
    <w:p w14:paraId="147D6F06" w14:textId="77777777" w:rsidR="00C62B07" w:rsidRPr="00FE5C66" w:rsidRDefault="00C62B07"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r w:rsidRPr="000C106E">
        <w:rPr>
          <w:rFonts w:ascii="Times New Roman" w:hAnsi="Times New Roman" w:cs="Times New Roman"/>
        </w:rPr>
        <w:t xml:space="preserve">Numărul și distribuția pe județe, în anul 2017, a asistenților medicali comunitari și a mediatorilor sanitari poate fi observată în figurile 7 și 8. </w:t>
      </w:r>
      <w:r w:rsidR="00FB0E83" w:rsidRPr="000C106E">
        <w:rPr>
          <w:rFonts w:ascii="Times New Roman" w:hAnsi="Times New Roman" w:cs="Times New Roman"/>
        </w:rPr>
        <w:t>Se poate observa un dezechilibru între județe și între mediile de rezidență, existând județe cu un număr total mai crescut de asistenți medicali comunitari (Botoșani, Gorj, Dolj) raportat la celelalte județe, în timp ce în altele număr de astfel de cadre medicale este dezechilibrat între mediile urban și rural (Fig. 7).</w:t>
      </w:r>
      <w:r w:rsidR="00FB0E83" w:rsidRPr="00FE5C66">
        <w:rPr>
          <w:rFonts w:ascii="Times New Roman" w:hAnsi="Times New Roman" w:cs="Times New Roman"/>
          <w:sz w:val="24"/>
          <w:szCs w:val="24"/>
        </w:rPr>
        <w:t xml:space="preserve"> </w:t>
      </w:r>
    </w:p>
    <w:p w14:paraId="2B18F174" w14:textId="77777777" w:rsidR="00FB0E83" w:rsidRPr="00EE59A2" w:rsidRDefault="00FB0E83"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p>
    <w:p w14:paraId="76F3B26C" w14:textId="77777777" w:rsidR="00FB0E83" w:rsidRDefault="00FB0E83"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r>
        <w:rPr>
          <w:noProof/>
          <w:lang w:eastAsia="ro-RO"/>
        </w:rPr>
        <w:drawing>
          <wp:inline distT="0" distB="0" distL="0" distR="0" wp14:anchorId="27889103" wp14:editId="0262185E">
            <wp:extent cx="5760720" cy="1668931"/>
            <wp:effectExtent l="0" t="0" r="0" b="762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10DDC7" w14:textId="77777777" w:rsidR="00FB0E83" w:rsidRDefault="00FB0E83" w:rsidP="00FB0E8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cs="Times New Roman"/>
          <w:b/>
          <w:sz w:val="20"/>
          <w:szCs w:val="20"/>
        </w:rPr>
      </w:pPr>
      <w:r w:rsidRPr="00FB0E83">
        <w:rPr>
          <w:rFonts w:ascii="Times New Roman" w:hAnsi="Times New Roman" w:cs="Times New Roman"/>
          <w:b/>
          <w:sz w:val="20"/>
          <w:szCs w:val="20"/>
        </w:rPr>
        <w:t xml:space="preserve">Figura 7. Distribuția </w:t>
      </w:r>
      <w:r w:rsidR="002508F2">
        <w:rPr>
          <w:rFonts w:ascii="Times New Roman" w:hAnsi="Times New Roman" w:cs="Times New Roman"/>
          <w:b/>
          <w:sz w:val="20"/>
          <w:szCs w:val="20"/>
        </w:rPr>
        <w:t>numărului de asistenți</w:t>
      </w:r>
      <w:r w:rsidRPr="00FB0E83">
        <w:rPr>
          <w:rFonts w:ascii="Times New Roman" w:hAnsi="Times New Roman" w:cs="Times New Roman"/>
          <w:b/>
          <w:sz w:val="20"/>
          <w:szCs w:val="20"/>
        </w:rPr>
        <w:t xml:space="preserve"> medicali comunitari la nivelul județelor</w:t>
      </w:r>
      <w:r>
        <w:rPr>
          <w:rFonts w:ascii="Times New Roman" w:hAnsi="Times New Roman" w:cs="Times New Roman"/>
          <w:b/>
          <w:sz w:val="20"/>
          <w:szCs w:val="20"/>
        </w:rPr>
        <w:t xml:space="preserve"> României </w:t>
      </w:r>
    </w:p>
    <w:p w14:paraId="681927EE" w14:textId="77777777" w:rsidR="002A127C" w:rsidRPr="00FB0E83" w:rsidRDefault="00FB0E83" w:rsidP="00FB0E8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cs="Times New Roman"/>
          <w:b/>
          <w:sz w:val="20"/>
          <w:szCs w:val="20"/>
        </w:rPr>
      </w:pPr>
      <w:r>
        <w:rPr>
          <w:rFonts w:ascii="Times New Roman" w:hAnsi="Times New Roman" w:cs="Times New Roman"/>
          <w:b/>
          <w:sz w:val="20"/>
          <w:szCs w:val="20"/>
        </w:rPr>
        <w:t>în anul 2017</w:t>
      </w:r>
      <w:r w:rsidRPr="00FB0E83">
        <w:rPr>
          <w:rFonts w:ascii="Times New Roman" w:hAnsi="Times New Roman" w:cs="Times New Roman"/>
          <w:b/>
          <w:sz w:val="20"/>
          <w:szCs w:val="20"/>
        </w:rPr>
        <w:t>, în funcție de mediul de rezidență (urban/rural)</w:t>
      </w:r>
    </w:p>
    <w:p w14:paraId="281DD36B" w14:textId="77777777" w:rsidR="00C62B07" w:rsidRDefault="00C62B07"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p>
    <w:p w14:paraId="1B447050" w14:textId="77777777" w:rsidR="00670079" w:rsidRPr="00EE59A2" w:rsidRDefault="00FB0E83"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EE59A2">
        <w:rPr>
          <w:rFonts w:ascii="Times New Roman" w:hAnsi="Times New Roman" w:cs="Times New Roman"/>
        </w:rPr>
        <w:lastRenderedPageBreak/>
        <w:t xml:space="preserve">În ceea ce privește </w:t>
      </w:r>
      <w:r w:rsidR="00A526AA" w:rsidRPr="00EE59A2">
        <w:rPr>
          <w:rFonts w:ascii="Times New Roman" w:hAnsi="Times New Roman" w:cs="Times New Roman"/>
        </w:rPr>
        <w:t xml:space="preserve">rețeaua națională de </w:t>
      </w:r>
      <w:r w:rsidRPr="00EE59A2">
        <w:rPr>
          <w:rFonts w:ascii="Times New Roman" w:hAnsi="Times New Roman" w:cs="Times New Roman"/>
        </w:rPr>
        <w:t xml:space="preserve">mediatorii sanitari, </w:t>
      </w:r>
      <w:r w:rsidR="00A526AA" w:rsidRPr="00EE59A2">
        <w:rPr>
          <w:rFonts w:ascii="Times New Roman" w:hAnsi="Times New Roman" w:cs="Times New Roman"/>
        </w:rPr>
        <w:t>se pot observa de asemenea dezechilibre numerice între județele țării și între mediile de rezidență din anumite județe (Fig.8).</w:t>
      </w:r>
    </w:p>
    <w:p w14:paraId="2B9568A2" w14:textId="77777777" w:rsidR="00A526AA" w:rsidRDefault="00A526AA"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p>
    <w:p w14:paraId="1DDBD1D7" w14:textId="77777777" w:rsidR="00A526AA" w:rsidRDefault="00A526AA"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r>
        <w:rPr>
          <w:noProof/>
          <w:lang w:eastAsia="ro-RO"/>
        </w:rPr>
        <w:drawing>
          <wp:inline distT="0" distB="0" distL="0" distR="0" wp14:anchorId="24036558" wp14:editId="31E1B161">
            <wp:extent cx="5760720" cy="1644433"/>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50DE76C" w14:textId="77777777" w:rsidR="00A526AA" w:rsidRDefault="00A526AA" w:rsidP="00A526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cs="Times New Roman"/>
          <w:b/>
          <w:sz w:val="20"/>
          <w:szCs w:val="20"/>
        </w:rPr>
      </w:pPr>
      <w:r>
        <w:rPr>
          <w:rFonts w:ascii="Times New Roman" w:hAnsi="Times New Roman" w:cs="Times New Roman"/>
          <w:b/>
          <w:sz w:val="20"/>
          <w:szCs w:val="20"/>
        </w:rPr>
        <w:t>Figura 8</w:t>
      </w:r>
      <w:r w:rsidRPr="00FB0E83">
        <w:rPr>
          <w:rFonts w:ascii="Times New Roman" w:hAnsi="Times New Roman" w:cs="Times New Roman"/>
          <w:b/>
          <w:sz w:val="20"/>
          <w:szCs w:val="20"/>
        </w:rPr>
        <w:t xml:space="preserve">. Distribuția </w:t>
      </w:r>
      <w:r w:rsidR="002508F2">
        <w:rPr>
          <w:rFonts w:ascii="Times New Roman" w:hAnsi="Times New Roman" w:cs="Times New Roman"/>
          <w:b/>
          <w:sz w:val="20"/>
          <w:szCs w:val="20"/>
        </w:rPr>
        <w:t>numărului de mediatori</w:t>
      </w:r>
      <w:r>
        <w:rPr>
          <w:rFonts w:ascii="Times New Roman" w:hAnsi="Times New Roman" w:cs="Times New Roman"/>
          <w:b/>
          <w:sz w:val="20"/>
          <w:szCs w:val="20"/>
        </w:rPr>
        <w:t xml:space="preserve"> sanitari</w:t>
      </w:r>
      <w:r w:rsidRPr="00FB0E83">
        <w:rPr>
          <w:rFonts w:ascii="Times New Roman" w:hAnsi="Times New Roman" w:cs="Times New Roman"/>
          <w:b/>
          <w:sz w:val="20"/>
          <w:szCs w:val="20"/>
        </w:rPr>
        <w:t xml:space="preserve"> la nivelul județelor</w:t>
      </w:r>
      <w:r>
        <w:rPr>
          <w:rFonts w:ascii="Times New Roman" w:hAnsi="Times New Roman" w:cs="Times New Roman"/>
          <w:b/>
          <w:sz w:val="20"/>
          <w:szCs w:val="20"/>
        </w:rPr>
        <w:t xml:space="preserve"> României </w:t>
      </w:r>
    </w:p>
    <w:p w14:paraId="5173C432" w14:textId="77777777" w:rsidR="00A526AA" w:rsidRPr="00FB0E83" w:rsidRDefault="00A526AA" w:rsidP="00A526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cs="Times New Roman"/>
          <w:b/>
          <w:sz w:val="20"/>
          <w:szCs w:val="20"/>
        </w:rPr>
      </w:pPr>
      <w:r>
        <w:rPr>
          <w:rFonts w:ascii="Times New Roman" w:hAnsi="Times New Roman" w:cs="Times New Roman"/>
          <w:b/>
          <w:sz w:val="20"/>
          <w:szCs w:val="20"/>
        </w:rPr>
        <w:t>în anul 2017</w:t>
      </w:r>
      <w:r w:rsidRPr="00FB0E83">
        <w:rPr>
          <w:rFonts w:ascii="Times New Roman" w:hAnsi="Times New Roman" w:cs="Times New Roman"/>
          <w:b/>
          <w:sz w:val="20"/>
          <w:szCs w:val="20"/>
        </w:rPr>
        <w:t>, în funcție de mediul de rezidență (urban/rural)</w:t>
      </w:r>
    </w:p>
    <w:p w14:paraId="613A8136" w14:textId="77777777" w:rsidR="00A526AA" w:rsidRDefault="00A526AA"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p>
    <w:p w14:paraId="1C7BE6A9" w14:textId="16DE2EC4" w:rsidR="00194074" w:rsidRPr="000C106E" w:rsidRDefault="00A526AA"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0C106E">
        <w:rPr>
          <w:rFonts w:ascii="Times New Roman" w:hAnsi="Times New Roman" w:cs="Times New Roman"/>
        </w:rPr>
        <w:t>Nu în ultimul rând, un alt segment al personalului din sănătate cu atribuții importante în promovarea sănătății și oferirea serviciilor de prevenție în rândul copiilor și tinerilor</w:t>
      </w:r>
      <w:r w:rsidR="007D7A4F" w:rsidRPr="000C106E">
        <w:rPr>
          <w:rFonts w:ascii="Times New Roman" w:hAnsi="Times New Roman" w:cs="Times New Roman"/>
        </w:rPr>
        <w:t xml:space="preserve"> școlarizați (a elevilor)</w:t>
      </w:r>
      <w:r w:rsidRPr="000C106E">
        <w:rPr>
          <w:rFonts w:ascii="Times New Roman" w:hAnsi="Times New Roman" w:cs="Times New Roman"/>
        </w:rPr>
        <w:t xml:space="preserve"> </w:t>
      </w:r>
      <w:r w:rsidR="00C43818" w:rsidRPr="000C106E">
        <w:rPr>
          <w:rFonts w:ascii="Times New Roman" w:hAnsi="Times New Roman" w:cs="Times New Roman"/>
        </w:rPr>
        <w:t>este reprezentat de medici</w:t>
      </w:r>
      <w:r w:rsidR="007D7A4F" w:rsidRPr="000C106E">
        <w:rPr>
          <w:rFonts w:ascii="Times New Roman" w:hAnsi="Times New Roman" w:cs="Times New Roman"/>
        </w:rPr>
        <w:t xml:space="preserve">, medici </w:t>
      </w:r>
      <w:r w:rsidR="009F7B4B">
        <w:rPr>
          <w:rFonts w:ascii="Times New Roman" w:hAnsi="Times New Roman" w:cs="Times New Roman"/>
        </w:rPr>
        <w:t xml:space="preserve">dentiști </w:t>
      </w:r>
      <w:r w:rsidR="007D7A4F" w:rsidRPr="000C106E">
        <w:rPr>
          <w:rFonts w:ascii="Times New Roman" w:hAnsi="Times New Roman" w:cs="Times New Roman"/>
        </w:rPr>
        <w:t>și asistente</w:t>
      </w:r>
      <w:r w:rsidR="00C43818" w:rsidRPr="000C106E">
        <w:rPr>
          <w:rFonts w:ascii="Times New Roman" w:hAnsi="Times New Roman" w:cs="Times New Roman"/>
        </w:rPr>
        <w:t xml:space="preserve"> cu competență în medicină școlară</w:t>
      </w:r>
      <w:r w:rsidR="008278D7" w:rsidRPr="000C106E">
        <w:rPr>
          <w:rFonts w:ascii="Times New Roman" w:hAnsi="Times New Roman" w:cs="Times New Roman"/>
        </w:rPr>
        <w:t>. Distribuț</w:t>
      </w:r>
      <w:r w:rsidR="00C43818" w:rsidRPr="000C106E">
        <w:rPr>
          <w:rFonts w:ascii="Times New Roman" w:hAnsi="Times New Roman" w:cs="Times New Roman"/>
        </w:rPr>
        <w:t xml:space="preserve">ia acestora </w:t>
      </w:r>
      <w:r w:rsidR="007D7A4F" w:rsidRPr="000C106E">
        <w:rPr>
          <w:rFonts w:ascii="Times New Roman" w:hAnsi="Times New Roman" w:cs="Times New Roman"/>
        </w:rPr>
        <w:t>în funcție de mediul de rezidență (Tabelul 2)</w:t>
      </w:r>
      <w:r w:rsidR="00C43818" w:rsidRPr="000C106E">
        <w:rPr>
          <w:rFonts w:ascii="Times New Roman" w:hAnsi="Times New Roman" w:cs="Times New Roman"/>
        </w:rPr>
        <w:t>, relevă o</w:t>
      </w:r>
      <w:r w:rsidR="007D7A4F" w:rsidRPr="000C106E">
        <w:rPr>
          <w:rFonts w:ascii="Times New Roman" w:hAnsi="Times New Roman" w:cs="Times New Roman"/>
        </w:rPr>
        <w:t xml:space="preserve"> distribuție puternic inegală, cu un număr</w:t>
      </w:r>
      <w:r w:rsidR="006B6F1B" w:rsidRPr="000C106E">
        <w:rPr>
          <w:rFonts w:ascii="Times New Roman" w:hAnsi="Times New Roman" w:cs="Times New Roman"/>
        </w:rPr>
        <w:t>, în anul 2017,</w:t>
      </w:r>
      <w:r w:rsidR="007D7A4F" w:rsidRPr="000C106E">
        <w:rPr>
          <w:rFonts w:ascii="Times New Roman" w:hAnsi="Times New Roman" w:cs="Times New Roman"/>
        </w:rPr>
        <w:t xml:space="preserve"> mult mai mare de medici și asistente</w:t>
      </w:r>
      <w:r w:rsidR="006B6F1B" w:rsidRPr="000C106E">
        <w:rPr>
          <w:rFonts w:ascii="Times New Roman" w:hAnsi="Times New Roman" w:cs="Times New Roman"/>
        </w:rPr>
        <w:t xml:space="preserve"> în mediul urban </w:t>
      </w:r>
      <w:r w:rsidR="007D7A4F" w:rsidRPr="000C106E">
        <w:rPr>
          <w:rFonts w:ascii="Times New Roman" w:hAnsi="Times New Roman" w:cs="Times New Roman"/>
        </w:rPr>
        <w:t>(</w:t>
      </w:r>
      <w:r w:rsidR="007D7A4F" w:rsidRPr="000C106E">
        <w:rPr>
          <w:rFonts w:ascii="Times New Roman" w:hAnsi="Times New Roman" w:cs="Times New Roman"/>
          <w:b/>
        </w:rPr>
        <w:t xml:space="preserve">aproximativ </w:t>
      </w:r>
      <w:r w:rsidR="00BC7A05">
        <w:rPr>
          <w:rFonts w:ascii="Times New Roman" w:hAnsi="Times New Roman" w:cs="Times New Roman"/>
          <w:b/>
        </w:rPr>
        <w:t>4 medici și 17 asistenți medicali de medicină școlară</w:t>
      </w:r>
      <w:r w:rsidR="006B6F1B" w:rsidRPr="000C106E">
        <w:rPr>
          <w:rFonts w:ascii="Times New Roman" w:hAnsi="Times New Roman" w:cs="Times New Roman"/>
          <w:b/>
        </w:rPr>
        <w:t>/10000 preșcolari și școlari</w:t>
      </w:r>
      <w:r w:rsidR="006B6F1B" w:rsidRPr="000C106E">
        <w:rPr>
          <w:rFonts w:ascii="Times New Roman" w:hAnsi="Times New Roman" w:cs="Times New Roman"/>
        </w:rPr>
        <w:t>), față de mediul rural (</w:t>
      </w:r>
      <w:r w:rsidR="006B6F1B" w:rsidRPr="000C106E">
        <w:rPr>
          <w:rFonts w:ascii="Times New Roman" w:hAnsi="Times New Roman" w:cs="Times New Roman"/>
          <w:b/>
        </w:rPr>
        <w:t xml:space="preserve">mai puțin de 1 </w:t>
      </w:r>
      <w:r w:rsidR="00BC7A05">
        <w:rPr>
          <w:rFonts w:ascii="Times New Roman" w:hAnsi="Times New Roman" w:cs="Times New Roman"/>
          <w:b/>
        </w:rPr>
        <w:t>medic și aproximativ 4 asistenți medicali de medicină școlară</w:t>
      </w:r>
      <w:r w:rsidR="006B6F1B" w:rsidRPr="000C106E">
        <w:rPr>
          <w:rFonts w:ascii="Times New Roman" w:hAnsi="Times New Roman" w:cs="Times New Roman"/>
          <w:b/>
        </w:rPr>
        <w:t xml:space="preserve"> la</w:t>
      </w:r>
      <w:r w:rsidR="006B6F1B" w:rsidRPr="000C106E">
        <w:rPr>
          <w:rFonts w:ascii="Times New Roman" w:hAnsi="Times New Roman" w:cs="Times New Roman"/>
        </w:rPr>
        <w:t xml:space="preserve"> </w:t>
      </w:r>
      <w:r w:rsidR="006B6F1B" w:rsidRPr="000C106E">
        <w:rPr>
          <w:rFonts w:ascii="Times New Roman" w:hAnsi="Times New Roman" w:cs="Times New Roman"/>
          <w:b/>
        </w:rPr>
        <w:t>100.000 preșcolari și școlari</w:t>
      </w:r>
      <w:r w:rsidR="006B6F1B" w:rsidRPr="000C106E">
        <w:rPr>
          <w:rFonts w:ascii="Times New Roman" w:hAnsi="Times New Roman" w:cs="Times New Roman"/>
        </w:rPr>
        <w:t xml:space="preserve">). </w:t>
      </w:r>
    </w:p>
    <w:p w14:paraId="584CA667" w14:textId="07B9FEEB" w:rsidR="00B54D9C" w:rsidRPr="000C106E" w:rsidRDefault="006B6F1B"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rPr>
      </w:pPr>
      <w:r w:rsidRPr="000C106E">
        <w:rPr>
          <w:rFonts w:ascii="Times New Roman" w:hAnsi="Times New Roman" w:cs="Times New Roman"/>
        </w:rPr>
        <w:t xml:space="preserve">Un aspect pozitiv </w:t>
      </w:r>
      <w:r w:rsidR="00194074" w:rsidRPr="000C106E">
        <w:rPr>
          <w:rFonts w:ascii="Times New Roman" w:hAnsi="Times New Roman" w:cs="Times New Roman"/>
        </w:rPr>
        <w:t>ar putea fi considerate creșterile</w:t>
      </w:r>
      <w:r w:rsidRPr="000C106E">
        <w:rPr>
          <w:rFonts w:ascii="Times New Roman" w:hAnsi="Times New Roman" w:cs="Times New Roman"/>
        </w:rPr>
        <w:t>, atât a numărului absolut cât și a numărului</w:t>
      </w:r>
      <w:r w:rsidR="00194074" w:rsidRPr="000C106E">
        <w:rPr>
          <w:rFonts w:ascii="Times New Roman" w:hAnsi="Times New Roman" w:cs="Times New Roman"/>
        </w:rPr>
        <w:t xml:space="preserve"> relativ </w:t>
      </w:r>
      <w:r w:rsidRPr="000C106E">
        <w:rPr>
          <w:rFonts w:ascii="Times New Roman" w:hAnsi="Times New Roman" w:cs="Times New Roman"/>
        </w:rPr>
        <w:t xml:space="preserve">de </w:t>
      </w:r>
      <w:r w:rsidR="00763A49">
        <w:rPr>
          <w:rFonts w:ascii="Times New Roman" w:hAnsi="Times New Roman" w:cs="Times New Roman"/>
        </w:rPr>
        <w:t xml:space="preserve">medici, </w:t>
      </w:r>
      <w:r w:rsidR="009F7B4B">
        <w:rPr>
          <w:rFonts w:ascii="Times New Roman" w:hAnsi="Times New Roman" w:cs="Times New Roman"/>
        </w:rPr>
        <w:t xml:space="preserve">medici dentiști </w:t>
      </w:r>
      <w:r w:rsidR="00763A49">
        <w:rPr>
          <w:rFonts w:ascii="Times New Roman" w:hAnsi="Times New Roman" w:cs="Times New Roman"/>
        </w:rPr>
        <w:t xml:space="preserve"> și asistențo medicali</w:t>
      </w:r>
      <w:r w:rsidRPr="000C106E">
        <w:rPr>
          <w:rFonts w:ascii="Times New Roman" w:hAnsi="Times New Roman" w:cs="Times New Roman"/>
        </w:rPr>
        <w:t>/nr. preșcolari și școlari, înr</w:t>
      </w:r>
      <w:r w:rsidR="00194074" w:rsidRPr="000C106E">
        <w:rPr>
          <w:rFonts w:ascii="Times New Roman" w:hAnsi="Times New Roman" w:cs="Times New Roman"/>
        </w:rPr>
        <w:t>egistrate</w:t>
      </w:r>
      <w:r w:rsidRPr="000C106E">
        <w:rPr>
          <w:rFonts w:ascii="Times New Roman" w:hAnsi="Times New Roman" w:cs="Times New Roman"/>
        </w:rPr>
        <w:t xml:space="preserve"> în perioada 2014-2017, atât în mediul urban, cât și în mediul rural, posibil datorată </w:t>
      </w:r>
      <w:r w:rsidRPr="000C106E">
        <w:rPr>
          <w:rFonts w:ascii="Times New Roman" w:hAnsi="Times New Roman" w:cs="Times New Roman"/>
          <w:b/>
        </w:rPr>
        <w:t>măsurilor de distribuire a costurilor de administrare a cabinetelor de medicină școlară între autoritățile centrale (respectiv Ministerul Sănătății) și autoritățile publice locale</w:t>
      </w:r>
      <w:r w:rsidRPr="000C106E">
        <w:rPr>
          <w:rFonts w:ascii="Times New Roman" w:hAnsi="Times New Roman" w:cs="Times New Roman"/>
        </w:rPr>
        <w:t xml:space="preserve">. </w:t>
      </w:r>
    </w:p>
    <w:p w14:paraId="0F98A26D" w14:textId="77777777" w:rsidR="007D7A4F" w:rsidRDefault="007D7A4F"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p>
    <w:p w14:paraId="6D9BDD60" w14:textId="1D45029B" w:rsidR="00C43818" w:rsidRPr="007D7A4F" w:rsidRDefault="007D7A4F"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b/>
          <w:sz w:val="20"/>
          <w:szCs w:val="20"/>
        </w:rPr>
      </w:pPr>
      <w:r w:rsidRPr="007D7A4F">
        <w:rPr>
          <w:rFonts w:ascii="Times New Roman" w:hAnsi="Times New Roman" w:cs="Times New Roman"/>
          <w:b/>
          <w:sz w:val="20"/>
          <w:szCs w:val="20"/>
        </w:rPr>
        <w:t>Tabelul 2. Distribuția medicilor</w:t>
      </w:r>
      <w:r>
        <w:rPr>
          <w:rFonts w:ascii="Times New Roman" w:hAnsi="Times New Roman" w:cs="Times New Roman"/>
          <w:b/>
          <w:sz w:val="20"/>
          <w:szCs w:val="20"/>
        </w:rPr>
        <w:t xml:space="preserve"> cu competență în medicină școlară, </w:t>
      </w:r>
      <w:r w:rsidR="00194074">
        <w:rPr>
          <w:rFonts w:ascii="Times New Roman" w:hAnsi="Times New Roman" w:cs="Times New Roman"/>
          <w:b/>
          <w:sz w:val="20"/>
          <w:szCs w:val="20"/>
        </w:rPr>
        <w:t xml:space="preserve">a </w:t>
      </w:r>
      <w:r w:rsidR="009F7B4B">
        <w:rPr>
          <w:rFonts w:ascii="Times New Roman" w:hAnsi="Times New Roman" w:cs="Times New Roman"/>
          <w:b/>
          <w:sz w:val="20"/>
          <w:szCs w:val="20"/>
        </w:rPr>
        <w:t>medicilor dentiști</w:t>
      </w:r>
      <w:r w:rsidRPr="007D7A4F">
        <w:rPr>
          <w:rFonts w:ascii="Times New Roman" w:hAnsi="Times New Roman" w:cs="Times New Roman"/>
          <w:b/>
          <w:sz w:val="20"/>
          <w:szCs w:val="20"/>
        </w:rPr>
        <w:t xml:space="preserve"> și a</w:t>
      </w:r>
      <w:r w:rsidR="00194074">
        <w:rPr>
          <w:rFonts w:ascii="Times New Roman" w:hAnsi="Times New Roman" w:cs="Times New Roman"/>
          <w:b/>
          <w:sz w:val="20"/>
          <w:szCs w:val="20"/>
        </w:rPr>
        <w:t xml:space="preserve"> a</w:t>
      </w:r>
      <w:r w:rsidR="00763A49">
        <w:rPr>
          <w:rFonts w:ascii="Times New Roman" w:hAnsi="Times New Roman" w:cs="Times New Roman"/>
          <w:b/>
          <w:sz w:val="20"/>
          <w:szCs w:val="20"/>
        </w:rPr>
        <w:t>sistenți</w:t>
      </w:r>
      <w:r w:rsidRPr="007D7A4F">
        <w:rPr>
          <w:rFonts w:ascii="Times New Roman" w:hAnsi="Times New Roman" w:cs="Times New Roman"/>
          <w:b/>
          <w:sz w:val="20"/>
          <w:szCs w:val="20"/>
        </w:rPr>
        <w:t>lor</w:t>
      </w:r>
      <w:r w:rsidR="00763A49">
        <w:rPr>
          <w:rFonts w:ascii="Times New Roman" w:hAnsi="Times New Roman" w:cs="Times New Roman"/>
          <w:b/>
          <w:sz w:val="20"/>
          <w:szCs w:val="20"/>
        </w:rPr>
        <w:t xml:space="preserve"> medicali</w:t>
      </w:r>
      <w:r w:rsidRPr="007D7A4F">
        <w:rPr>
          <w:rFonts w:ascii="Times New Roman" w:hAnsi="Times New Roman" w:cs="Times New Roman"/>
          <w:b/>
          <w:sz w:val="20"/>
          <w:szCs w:val="20"/>
        </w:rPr>
        <w:t xml:space="preserve"> de medicină școlară în funcție de mediul de rezidență, în anii 2014 și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996"/>
        <w:gridCol w:w="1120"/>
        <w:gridCol w:w="236"/>
        <w:gridCol w:w="2471"/>
        <w:gridCol w:w="992"/>
        <w:gridCol w:w="959"/>
      </w:tblGrid>
      <w:tr w:rsidR="007D7A4F" w:rsidRPr="007D7A4F" w14:paraId="5DDCE30C" w14:textId="77777777" w:rsidTr="007D7A4F">
        <w:trPr>
          <w:trHeight w:val="300"/>
        </w:trPr>
        <w:tc>
          <w:tcPr>
            <w:tcW w:w="1353" w:type="pct"/>
            <w:shd w:val="clear" w:color="auto" w:fill="auto"/>
            <w:noWrap/>
            <w:vAlign w:val="bottom"/>
            <w:hideMark/>
          </w:tcPr>
          <w:p w14:paraId="0F88AB68"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URBAN</w:t>
            </w:r>
          </w:p>
        </w:tc>
        <w:tc>
          <w:tcPr>
            <w:tcW w:w="536" w:type="pct"/>
            <w:shd w:val="clear" w:color="auto" w:fill="auto"/>
            <w:noWrap/>
            <w:vAlign w:val="bottom"/>
            <w:hideMark/>
          </w:tcPr>
          <w:p w14:paraId="09246E41" w14:textId="77777777" w:rsidR="007D7A4F" w:rsidRPr="007D7A4F" w:rsidRDefault="007D7A4F" w:rsidP="007D7A4F">
            <w:pPr>
              <w:spacing w:after="0" w:line="240" w:lineRule="auto"/>
              <w:jc w:val="right"/>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2014</w:t>
            </w:r>
          </w:p>
        </w:tc>
        <w:tc>
          <w:tcPr>
            <w:tcW w:w="603" w:type="pct"/>
            <w:shd w:val="clear" w:color="auto" w:fill="auto"/>
            <w:noWrap/>
            <w:vAlign w:val="bottom"/>
            <w:hideMark/>
          </w:tcPr>
          <w:p w14:paraId="55A6734D" w14:textId="77777777" w:rsidR="007D7A4F" w:rsidRPr="007D7A4F" w:rsidRDefault="007D7A4F" w:rsidP="007D7A4F">
            <w:pPr>
              <w:spacing w:after="0" w:line="240" w:lineRule="auto"/>
              <w:jc w:val="right"/>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2017</w:t>
            </w:r>
          </w:p>
        </w:tc>
        <w:tc>
          <w:tcPr>
            <w:tcW w:w="127" w:type="pct"/>
            <w:shd w:val="clear" w:color="auto" w:fill="auto"/>
            <w:noWrap/>
            <w:vAlign w:val="bottom"/>
            <w:hideMark/>
          </w:tcPr>
          <w:p w14:paraId="6DA239F2"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p>
        </w:tc>
        <w:tc>
          <w:tcPr>
            <w:tcW w:w="1330" w:type="pct"/>
            <w:shd w:val="clear" w:color="auto" w:fill="auto"/>
            <w:noWrap/>
            <w:vAlign w:val="bottom"/>
            <w:hideMark/>
          </w:tcPr>
          <w:p w14:paraId="0395E51D"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RURAL</w:t>
            </w:r>
          </w:p>
        </w:tc>
        <w:tc>
          <w:tcPr>
            <w:tcW w:w="534" w:type="pct"/>
            <w:shd w:val="clear" w:color="auto" w:fill="auto"/>
            <w:noWrap/>
            <w:vAlign w:val="bottom"/>
            <w:hideMark/>
          </w:tcPr>
          <w:p w14:paraId="2883481A" w14:textId="77777777" w:rsidR="007D7A4F" w:rsidRPr="007D7A4F" w:rsidRDefault="007D7A4F" w:rsidP="007D7A4F">
            <w:pPr>
              <w:spacing w:after="0" w:line="240" w:lineRule="auto"/>
              <w:jc w:val="right"/>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2014</w:t>
            </w:r>
          </w:p>
        </w:tc>
        <w:tc>
          <w:tcPr>
            <w:tcW w:w="516" w:type="pct"/>
            <w:shd w:val="clear" w:color="auto" w:fill="auto"/>
            <w:noWrap/>
            <w:vAlign w:val="bottom"/>
            <w:hideMark/>
          </w:tcPr>
          <w:p w14:paraId="4F71DA9F" w14:textId="77777777" w:rsidR="007D7A4F" w:rsidRPr="007D7A4F" w:rsidRDefault="007D7A4F" w:rsidP="007D7A4F">
            <w:pPr>
              <w:spacing w:after="0" w:line="240" w:lineRule="auto"/>
              <w:jc w:val="right"/>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2017</w:t>
            </w:r>
          </w:p>
        </w:tc>
      </w:tr>
      <w:tr w:rsidR="007D7A4F" w:rsidRPr="007D7A4F" w14:paraId="5FF98DF7" w14:textId="77777777" w:rsidTr="007D7A4F">
        <w:trPr>
          <w:trHeight w:val="300"/>
        </w:trPr>
        <w:tc>
          <w:tcPr>
            <w:tcW w:w="1353" w:type="pct"/>
            <w:shd w:val="clear" w:color="auto" w:fill="auto"/>
            <w:noWrap/>
            <w:vAlign w:val="bottom"/>
            <w:hideMark/>
          </w:tcPr>
          <w:p w14:paraId="7DFF22AA"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Număr grădinițe</w:t>
            </w:r>
          </w:p>
        </w:tc>
        <w:tc>
          <w:tcPr>
            <w:tcW w:w="536" w:type="pct"/>
            <w:shd w:val="clear" w:color="auto" w:fill="auto"/>
            <w:noWrap/>
            <w:vAlign w:val="bottom"/>
            <w:hideMark/>
          </w:tcPr>
          <w:p w14:paraId="3FE1D5C2"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2441</w:t>
            </w:r>
          </w:p>
        </w:tc>
        <w:tc>
          <w:tcPr>
            <w:tcW w:w="603" w:type="pct"/>
            <w:shd w:val="clear" w:color="auto" w:fill="auto"/>
            <w:noWrap/>
            <w:vAlign w:val="bottom"/>
            <w:hideMark/>
          </w:tcPr>
          <w:p w14:paraId="55D25302"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2420</w:t>
            </w:r>
          </w:p>
        </w:tc>
        <w:tc>
          <w:tcPr>
            <w:tcW w:w="127" w:type="pct"/>
            <w:shd w:val="clear" w:color="auto" w:fill="auto"/>
            <w:noWrap/>
            <w:vAlign w:val="bottom"/>
            <w:hideMark/>
          </w:tcPr>
          <w:p w14:paraId="00C76446" w14:textId="77777777" w:rsidR="007D7A4F" w:rsidRPr="007D7A4F" w:rsidRDefault="007D7A4F" w:rsidP="007D7A4F">
            <w:pPr>
              <w:spacing w:after="0" w:line="240" w:lineRule="auto"/>
              <w:rPr>
                <w:rFonts w:ascii="Times New Roman" w:eastAsia="Times New Roman" w:hAnsi="Times New Roman" w:cs="Times New Roman"/>
                <w:color w:val="000000"/>
                <w:lang w:eastAsia="ro-RO"/>
              </w:rPr>
            </w:pPr>
          </w:p>
        </w:tc>
        <w:tc>
          <w:tcPr>
            <w:tcW w:w="1330" w:type="pct"/>
            <w:shd w:val="clear" w:color="auto" w:fill="auto"/>
            <w:noWrap/>
            <w:vAlign w:val="bottom"/>
            <w:hideMark/>
          </w:tcPr>
          <w:p w14:paraId="7C5E7E29"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Număr grădinițe</w:t>
            </w:r>
          </w:p>
        </w:tc>
        <w:tc>
          <w:tcPr>
            <w:tcW w:w="534" w:type="pct"/>
            <w:shd w:val="clear" w:color="auto" w:fill="auto"/>
            <w:noWrap/>
            <w:vAlign w:val="bottom"/>
            <w:hideMark/>
          </w:tcPr>
          <w:p w14:paraId="501AD598"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7148</w:t>
            </w:r>
          </w:p>
        </w:tc>
        <w:tc>
          <w:tcPr>
            <w:tcW w:w="516" w:type="pct"/>
            <w:shd w:val="clear" w:color="auto" w:fill="auto"/>
            <w:noWrap/>
            <w:vAlign w:val="bottom"/>
            <w:hideMark/>
          </w:tcPr>
          <w:p w14:paraId="30810069"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5542</w:t>
            </w:r>
          </w:p>
        </w:tc>
      </w:tr>
      <w:tr w:rsidR="007D7A4F" w:rsidRPr="007D7A4F" w14:paraId="489D156E" w14:textId="77777777" w:rsidTr="007D7A4F">
        <w:trPr>
          <w:trHeight w:val="300"/>
        </w:trPr>
        <w:tc>
          <w:tcPr>
            <w:tcW w:w="1353" w:type="pct"/>
            <w:shd w:val="clear" w:color="auto" w:fill="auto"/>
            <w:noWrap/>
            <w:vAlign w:val="bottom"/>
            <w:hideMark/>
          </w:tcPr>
          <w:p w14:paraId="03C82410"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Număr școli și licee</w:t>
            </w:r>
          </w:p>
        </w:tc>
        <w:tc>
          <w:tcPr>
            <w:tcW w:w="536" w:type="pct"/>
            <w:shd w:val="clear" w:color="auto" w:fill="auto"/>
            <w:noWrap/>
            <w:vAlign w:val="bottom"/>
            <w:hideMark/>
          </w:tcPr>
          <w:p w14:paraId="301C196F"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2506</w:t>
            </w:r>
          </w:p>
        </w:tc>
        <w:tc>
          <w:tcPr>
            <w:tcW w:w="603" w:type="pct"/>
            <w:shd w:val="clear" w:color="auto" w:fill="auto"/>
            <w:noWrap/>
            <w:vAlign w:val="bottom"/>
            <w:hideMark/>
          </w:tcPr>
          <w:p w14:paraId="410883D4"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2867</w:t>
            </w:r>
          </w:p>
        </w:tc>
        <w:tc>
          <w:tcPr>
            <w:tcW w:w="127" w:type="pct"/>
            <w:shd w:val="clear" w:color="auto" w:fill="auto"/>
            <w:noWrap/>
            <w:vAlign w:val="bottom"/>
            <w:hideMark/>
          </w:tcPr>
          <w:p w14:paraId="7EB620F2" w14:textId="77777777" w:rsidR="007D7A4F" w:rsidRPr="007D7A4F" w:rsidRDefault="007D7A4F" w:rsidP="007D7A4F">
            <w:pPr>
              <w:spacing w:after="0" w:line="240" w:lineRule="auto"/>
              <w:rPr>
                <w:rFonts w:ascii="Times New Roman" w:eastAsia="Times New Roman" w:hAnsi="Times New Roman" w:cs="Times New Roman"/>
                <w:color w:val="000000"/>
                <w:lang w:eastAsia="ro-RO"/>
              </w:rPr>
            </w:pPr>
          </w:p>
        </w:tc>
        <w:tc>
          <w:tcPr>
            <w:tcW w:w="1330" w:type="pct"/>
            <w:shd w:val="clear" w:color="auto" w:fill="auto"/>
            <w:noWrap/>
            <w:vAlign w:val="bottom"/>
            <w:hideMark/>
          </w:tcPr>
          <w:p w14:paraId="2C1AE850"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Număr școli și licee</w:t>
            </w:r>
          </w:p>
        </w:tc>
        <w:tc>
          <w:tcPr>
            <w:tcW w:w="534" w:type="pct"/>
            <w:shd w:val="clear" w:color="auto" w:fill="auto"/>
            <w:noWrap/>
            <w:vAlign w:val="bottom"/>
            <w:hideMark/>
          </w:tcPr>
          <w:p w14:paraId="1F4F1D68"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7398</w:t>
            </w:r>
          </w:p>
        </w:tc>
        <w:tc>
          <w:tcPr>
            <w:tcW w:w="516" w:type="pct"/>
            <w:shd w:val="clear" w:color="auto" w:fill="auto"/>
            <w:noWrap/>
            <w:vAlign w:val="bottom"/>
            <w:hideMark/>
          </w:tcPr>
          <w:p w14:paraId="3927D82D"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5869</w:t>
            </w:r>
          </w:p>
        </w:tc>
      </w:tr>
      <w:tr w:rsidR="007D7A4F" w:rsidRPr="007D7A4F" w14:paraId="49250724" w14:textId="77777777" w:rsidTr="007D7A4F">
        <w:trPr>
          <w:trHeight w:val="300"/>
        </w:trPr>
        <w:tc>
          <w:tcPr>
            <w:tcW w:w="1353" w:type="pct"/>
            <w:shd w:val="clear" w:color="auto" w:fill="auto"/>
            <w:noWrap/>
            <w:vAlign w:val="bottom"/>
            <w:hideMark/>
          </w:tcPr>
          <w:p w14:paraId="4D4C0A0E"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Număr preșcolari</w:t>
            </w:r>
          </w:p>
        </w:tc>
        <w:tc>
          <w:tcPr>
            <w:tcW w:w="536" w:type="pct"/>
            <w:shd w:val="clear" w:color="auto" w:fill="auto"/>
            <w:noWrap/>
            <w:vAlign w:val="bottom"/>
            <w:hideMark/>
          </w:tcPr>
          <w:p w14:paraId="792AA6E8"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258867</w:t>
            </w:r>
          </w:p>
        </w:tc>
        <w:tc>
          <w:tcPr>
            <w:tcW w:w="603" w:type="pct"/>
            <w:shd w:val="clear" w:color="auto" w:fill="auto"/>
            <w:noWrap/>
            <w:vAlign w:val="bottom"/>
            <w:hideMark/>
          </w:tcPr>
          <w:p w14:paraId="7451FABA"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237936</w:t>
            </w:r>
          </w:p>
        </w:tc>
        <w:tc>
          <w:tcPr>
            <w:tcW w:w="127" w:type="pct"/>
            <w:shd w:val="clear" w:color="auto" w:fill="auto"/>
            <w:noWrap/>
            <w:vAlign w:val="bottom"/>
            <w:hideMark/>
          </w:tcPr>
          <w:p w14:paraId="080CB9DE" w14:textId="77777777" w:rsidR="007D7A4F" w:rsidRPr="007D7A4F" w:rsidRDefault="007D7A4F" w:rsidP="007D7A4F">
            <w:pPr>
              <w:spacing w:after="0" w:line="240" w:lineRule="auto"/>
              <w:rPr>
                <w:rFonts w:ascii="Times New Roman" w:eastAsia="Times New Roman" w:hAnsi="Times New Roman" w:cs="Times New Roman"/>
                <w:color w:val="000000"/>
                <w:lang w:eastAsia="ro-RO"/>
              </w:rPr>
            </w:pPr>
          </w:p>
        </w:tc>
        <w:tc>
          <w:tcPr>
            <w:tcW w:w="1330" w:type="pct"/>
            <w:shd w:val="clear" w:color="auto" w:fill="auto"/>
            <w:noWrap/>
            <w:vAlign w:val="bottom"/>
            <w:hideMark/>
          </w:tcPr>
          <w:p w14:paraId="6B433CB5"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Număr preșcolari</w:t>
            </w:r>
          </w:p>
        </w:tc>
        <w:tc>
          <w:tcPr>
            <w:tcW w:w="534" w:type="pct"/>
            <w:shd w:val="clear" w:color="auto" w:fill="auto"/>
            <w:noWrap/>
            <w:vAlign w:val="bottom"/>
            <w:hideMark/>
          </w:tcPr>
          <w:p w14:paraId="0D7CDB67"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252912</w:t>
            </w:r>
          </w:p>
        </w:tc>
        <w:tc>
          <w:tcPr>
            <w:tcW w:w="516" w:type="pct"/>
            <w:shd w:val="clear" w:color="auto" w:fill="auto"/>
            <w:noWrap/>
            <w:vAlign w:val="bottom"/>
            <w:hideMark/>
          </w:tcPr>
          <w:p w14:paraId="09F9A469"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178858</w:t>
            </w:r>
          </w:p>
        </w:tc>
      </w:tr>
      <w:tr w:rsidR="007D7A4F" w:rsidRPr="007D7A4F" w14:paraId="25B563EC" w14:textId="77777777" w:rsidTr="007D7A4F">
        <w:trPr>
          <w:trHeight w:val="300"/>
        </w:trPr>
        <w:tc>
          <w:tcPr>
            <w:tcW w:w="1353" w:type="pct"/>
            <w:shd w:val="clear" w:color="auto" w:fill="auto"/>
            <w:noWrap/>
            <w:vAlign w:val="bottom"/>
            <w:hideMark/>
          </w:tcPr>
          <w:p w14:paraId="2C8FD65B"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Număr școlari</w:t>
            </w:r>
          </w:p>
        </w:tc>
        <w:tc>
          <w:tcPr>
            <w:tcW w:w="536" w:type="pct"/>
            <w:shd w:val="clear" w:color="auto" w:fill="auto"/>
            <w:noWrap/>
            <w:vAlign w:val="bottom"/>
            <w:hideMark/>
          </w:tcPr>
          <w:p w14:paraId="251F3894"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1419141</w:t>
            </w:r>
          </w:p>
        </w:tc>
        <w:tc>
          <w:tcPr>
            <w:tcW w:w="603" w:type="pct"/>
            <w:shd w:val="clear" w:color="auto" w:fill="auto"/>
            <w:noWrap/>
            <w:vAlign w:val="bottom"/>
            <w:hideMark/>
          </w:tcPr>
          <w:p w14:paraId="39CA3F3D"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1384241</w:t>
            </w:r>
          </w:p>
        </w:tc>
        <w:tc>
          <w:tcPr>
            <w:tcW w:w="127" w:type="pct"/>
            <w:shd w:val="clear" w:color="auto" w:fill="auto"/>
            <w:noWrap/>
            <w:vAlign w:val="bottom"/>
            <w:hideMark/>
          </w:tcPr>
          <w:p w14:paraId="1EE8C6DA" w14:textId="77777777" w:rsidR="007D7A4F" w:rsidRPr="007D7A4F" w:rsidRDefault="007D7A4F" w:rsidP="007D7A4F">
            <w:pPr>
              <w:spacing w:after="0" w:line="240" w:lineRule="auto"/>
              <w:rPr>
                <w:rFonts w:ascii="Times New Roman" w:eastAsia="Times New Roman" w:hAnsi="Times New Roman" w:cs="Times New Roman"/>
                <w:color w:val="000000"/>
                <w:lang w:eastAsia="ro-RO"/>
              </w:rPr>
            </w:pPr>
          </w:p>
        </w:tc>
        <w:tc>
          <w:tcPr>
            <w:tcW w:w="1330" w:type="pct"/>
            <w:shd w:val="clear" w:color="auto" w:fill="auto"/>
            <w:noWrap/>
            <w:vAlign w:val="bottom"/>
            <w:hideMark/>
          </w:tcPr>
          <w:p w14:paraId="63215BCE" w14:textId="77777777" w:rsidR="007D7A4F" w:rsidRPr="007D7A4F" w:rsidRDefault="007D7A4F" w:rsidP="007D7A4F">
            <w:pPr>
              <w:spacing w:after="0" w:line="240" w:lineRule="auto"/>
              <w:rPr>
                <w:rFonts w:ascii="Times New Roman" w:eastAsia="Times New Roman" w:hAnsi="Times New Roman" w:cs="Times New Roman"/>
                <w:b/>
                <w:bCs/>
                <w:color w:val="000000"/>
                <w:lang w:eastAsia="ro-RO"/>
              </w:rPr>
            </w:pPr>
            <w:r w:rsidRPr="007D7A4F">
              <w:rPr>
                <w:rFonts w:ascii="Times New Roman" w:eastAsia="Times New Roman" w:hAnsi="Times New Roman" w:cs="Times New Roman"/>
                <w:b/>
                <w:bCs/>
                <w:color w:val="000000"/>
                <w:lang w:eastAsia="ro-RO"/>
              </w:rPr>
              <w:t>Număr școlari</w:t>
            </w:r>
          </w:p>
        </w:tc>
        <w:tc>
          <w:tcPr>
            <w:tcW w:w="534" w:type="pct"/>
            <w:shd w:val="clear" w:color="auto" w:fill="auto"/>
            <w:noWrap/>
            <w:vAlign w:val="bottom"/>
            <w:hideMark/>
          </w:tcPr>
          <w:p w14:paraId="11CBDA09"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910244</w:t>
            </w:r>
          </w:p>
        </w:tc>
        <w:tc>
          <w:tcPr>
            <w:tcW w:w="516" w:type="pct"/>
            <w:shd w:val="clear" w:color="auto" w:fill="auto"/>
            <w:noWrap/>
            <w:vAlign w:val="bottom"/>
            <w:hideMark/>
          </w:tcPr>
          <w:p w14:paraId="547849D5"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678395</w:t>
            </w:r>
          </w:p>
        </w:tc>
      </w:tr>
      <w:tr w:rsidR="007D7A4F" w:rsidRPr="007D7A4F" w14:paraId="5185D586" w14:textId="77777777" w:rsidTr="007D7A4F">
        <w:trPr>
          <w:trHeight w:val="300"/>
        </w:trPr>
        <w:tc>
          <w:tcPr>
            <w:tcW w:w="1353" w:type="pct"/>
            <w:shd w:val="clear" w:color="auto" w:fill="auto"/>
            <w:noWrap/>
            <w:vAlign w:val="bottom"/>
            <w:hideMark/>
          </w:tcPr>
          <w:p w14:paraId="3AC70BA8" w14:textId="77777777" w:rsidR="007D7A4F" w:rsidRPr="007D7A4F" w:rsidRDefault="00763A49" w:rsidP="007D7A4F">
            <w:pPr>
              <w:spacing w:after="0" w:line="240"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Medici școlari</w:t>
            </w:r>
          </w:p>
        </w:tc>
        <w:tc>
          <w:tcPr>
            <w:tcW w:w="536" w:type="pct"/>
            <w:shd w:val="clear" w:color="auto" w:fill="auto"/>
            <w:noWrap/>
            <w:vAlign w:val="bottom"/>
            <w:hideMark/>
          </w:tcPr>
          <w:p w14:paraId="01170B58"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549</w:t>
            </w:r>
          </w:p>
        </w:tc>
        <w:tc>
          <w:tcPr>
            <w:tcW w:w="603" w:type="pct"/>
            <w:shd w:val="clear" w:color="auto" w:fill="auto"/>
            <w:noWrap/>
            <w:vAlign w:val="bottom"/>
            <w:hideMark/>
          </w:tcPr>
          <w:p w14:paraId="6C1AE43E"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634,5</w:t>
            </w:r>
          </w:p>
        </w:tc>
        <w:tc>
          <w:tcPr>
            <w:tcW w:w="127" w:type="pct"/>
            <w:shd w:val="clear" w:color="auto" w:fill="auto"/>
            <w:noWrap/>
            <w:vAlign w:val="bottom"/>
            <w:hideMark/>
          </w:tcPr>
          <w:p w14:paraId="5EB2FDFB" w14:textId="77777777" w:rsidR="007D7A4F" w:rsidRPr="007D7A4F" w:rsidRDefault="007D7A4F" w:rsidP="007D7A4F">
            <w:pPr>
              <w:spacing w:after="0" w:line="240" w:lineRule="auto"/>
              <w:rPr>
                <w:rFonts w:ascii="Times New Roman" w:eastAsia="Times New Roman" w:hAnsi="Times New Roman" w:cs="Times New Roman"/>
                <w:color w:val="000000"/>
                <w:lang w:eastAsia="ro-RO"/>
              </w:rPr>
            </w:pPr>
          </w:p>
        </w:tc>
        <w:tc>
          <w:tcPr>
            <w:tcW w:w="1330" w:type="pct"/>
            <w:shd w:val="clear" w:color="auto" w:fill="auto"/>
            <w:noWrap/>
            <w:vAlign w:val="bottom"/>
            <w:hideMark/>
          </w:tcPr>
          <w:p w14:paraId="13C67B4D" w14:textId="77777777" w:rsidR="007D7A4F" w:rsidRPr="007D7A4F" w:rsidRDefault="00763A49" w:rsidP="007D7A4F">
            <w:pPr>
              <w:spacing w:after="0" w:line="240"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Medici școlari</w:t>
            </w:r>
          </w:p>
        </w:tc>
        <w:tc>
          <w:tcPr>
            <w:tcW w:w="534" w:type="pct"/>
            <w:shd w:val="clear" w:color="auto" w:fill="auto"/>
            <w:noWrap/>
            <w:vAlign w:val="bottom"/>
            <w:hideMark/>
          </w:tcPr>
          <w:p w14:paraId="4074E8C7"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w:t>
            </w:r>
          </w:p>
        </w:tc>
        <w:tc>
          <w:tcPr>
            <w:tcW w:w="516" w:type="pct"/>
            <w:shd w:val="clear" w:color="auto" w:fill="auto"/>
            <w:noWrap/>
            <w:vAlign w:val="bottom"/>
            <w:hideMark/>
          </w:tcPr>
          <w:p w14:paraId="6012EFC9"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6</w:t>
            </w:r>
          </w:p>
        </w:tc>
      </w:tr>
      <w:tr w:rsidR="007D7A4F" w:rsidRPr="007D7A4F" w14:paraId="61832571" w14:textId="77777777" w:rsidTr="007D7A4F">
        <w:trPr>
          <w:trHeight w:val="300"/>
        </w:trPr>
        <w:tc>
          <w:tcPr>
            <w:tcW w:w="1353" w:type="pct"/>
            <w:shd w:val="clear" w:color="auto" w:fill="auto"/>
            <w:noWrap/>
            <w:vAlign w:val="bottom"/>
            <w:hideMark/>
          </w:tcPr>
          <w:p w14:paraId="165D57EA" w14:textId="77777777" w:rsidR="007D7A4F" w:rsidRPr="007D7A4F" w:rsidRDefault="00763A49" w:rsidP="007D7A4F">
            <w:pPr>
              <w:spacing w:after="0" w:line="240"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Asistenți medicali</w:t>
            </w:r>
          </w:p>
        </w:tc>
        <w:tc>
          <w:tcPr>
            <w:tcW w:w="536" w:type="pct"/>
            <w:shd w:val="clear" w:color="auto" w:fill="auto"/>
            <w:noWrap/>
            <w:vAlign w:val="bottom"/>
            <w:hideMark/>
          </w:tcPr>
          <w:p w14:paraId="16026482"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2529</w:t>
            </w:r>
          </w:p>
        </w:tc>
        <w:tc>
          <w:tcPr>
            <w:tcW w:w="603" w:type="pct"/>
            <w:shd w:val="clear" w:color="auto" w:fill="auto"/>
            <w:noWrap/>
            <w:vAlign w:val="bottom"/>
            <w:hideMark/>
          </w:tcPr>
          <w:p w14:paraId="74D6810D"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2873</w:t>
            </w:r>
          </w:p>
        </w:tc>
        <w:tc>
          <w:tcPr>
            <w:tcW w:w="127" w:type="pct"/>
            <w:shd w:val="clear" w:color="auto" w:fill="auto"/>
            <w:noWrap/>
            <w:vAlign w:val="bottom"/>
            <w:hideMark/>
          </w:tcPr>
          <w:p w14:paraId="6421C7E8" w14:textId="77777777" w:rsidR="007D7A4F" w:rsidRPr="007D7A4F" w:rsidRDefault="007D7A4F" w:rsidP="007D7A4F">
            <w:pPr>
              <w:spacing w:after="0" w:line="240" w:lineRule="auto"/>
              <w:rPr>
                <w:rFonts w:ascii="Times New Roman" w:eastAsia="Times New Roman" w:hAnsi="Times New Roman" w:cs="Times New Roman"/>
                <w:color w:val="000000"/>
                <w:lang w:eastAsia="ro-RO"/>
              </w:rPr>
            </w:pPr>
          </w:p>
        </w:tc>
        <w:tc>
          <w:tcPr>
            <w:tcW w:w="1330" w:type="pct"/>
            <w:shd w:val="clear" w:color="auto" w:fill="auto"/>
            <w:noWrap/>
            <w:vAlign w:val="bottom"/>
            <w:hideMark/>
          </w:tcPr>
          <w:p w14:paraId="7EFEF69B" w14:textId="77777777" w:rsidR="007D7A4F" w:rsidRPr="007D7A4F" w:rsidRDefault="00763A49" w:rsidP="007D7A4F">
            <w:pPr>
              <w:spacing w:after="0" w:line="240"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Asistenți medicali</w:t>
            </w:r>
          </w:p>
        </w:tc>
        <w:tc>
          <w:tcPr>
            <w:tcW w:w="534" w:type="pct"/>
            <w:shd w:val="clear" w:color="auto" w:fill="auto"/>
            <w:noWrap/>
            <w:vAlign w:val="bottom"/>
            <w:hideMark/>
          </w:tcPr>
          <w:p w14:paraId="164784A8"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20</w:t>
            </w:r>
          </w:p>
        </w:tc>
        <w:tc>
          <w:tcPr>
            <w:tcW w:w="516" w:type="pct"/>
            <w:shd w:val="clear" w:color="auto" w:fill="auto"/>
            <w:noWrap/>
            <w:vAlign w:val="bottom"/>
            <w:hideMark/>
          </w:tcPr>
          <w:p w14:paraId="50B8EDAF"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30</w:t>
            </w:r>
          </w:p>
        </w:tc>
      </w:tr>
      <w:tr w:rsidR="007D7A4F" w:rsidRPr="007D7A4F" w14:paraId="5C1DA7E4" w14:textId="77777777" w:rsidTr="007D7A4F">
        <w:trPr>
          <w:trHeight w:val="300"/>
        </w:trPr>
        <w:tc>
          <w:tcPr>
            <w:tcW w:w="1353" w:type="pct"/>
            <w:shd w:val="clear" w:color="auto" w:fill="auto"/>
            <w:noWrap/>
            <w:vAlign w:val="bottom"/>
            <w:hideMark/>
          </w:tcPr>
          <w:p w14:paraId="7F405C34" w14:textId="6FE0D7C6" w:rsidR="007D7A4F" w:rsidRPr="007D7A4F" w:rsidRDefault="00064492" w:rsidP="007D7A4F">
            <w:pPr>
              <w:spacing w:after="0" w:line="240"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Medici dentiști în cabinete de medicină  școlară</w:t>
            </w:r>
          </w:p>
        </w:tc>
        <w:tc>
          <w:tcPr>
            <w:tcW w:w="536" w:type="pct"/>
            <w:shd w:val="clear" w:color="auto" w:fill="auto"/>
            <w:noWrap/>
            <w:vAlign w:val="bottom"/>
            <w:hideMark/>
          </w:tcPr>
          <w:p w14:paraId="631E3644"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340</w:t>
            </w:r>
          </w:p>
        </w:tc>
        <w:tc>
          <w:tcPr>
            <w:tcW w:w="603" w:type="pct"/>
            <w:shd w:val="clear" w:color="auto" w:fill="auto"/>
            <w:noWrap/>
            <w:vAlign w:val="bottom"/>
            <w:hideMark/>
          </w:tcPr>
          <w:p w14:paraId="1914C6D1"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422</w:t>
            </w:r>
          </w:p>
        </w:tc>
        <w:tc>
          <w:tcPr>
            <w:tcW w:w="127" w:type="pct"/>
            <w:shd w:val="clear" w:color="auto" w:fill="auto"/>
            <w:noWrap/>
            <w:vAlign w:val="bottom"/>
            <w:hideMark/>
          </w:tcPr>
          <w:p w14:paraId="4D1BF9EB" w14:textId="77777777" w:rsidR="007D7A4F" w:rsidRPr="007D7A4F" w:rsidRDefault="007D7A4F" w:rsidP="007D7A4F">
            <w:pPr>
              <w:spacing w:after="0" w:line="240" w:lineRule="auto"/>
              <w:rPr>
                <w:rFonts w:ascii="Times New Roman" w:eastAsia="Times New Roman" w:hAnsi="Times New Roman" w:cs="Times New Roman"/>
                <w:color w:val="000000"/>
                <w:lang w:eastAsia="ro-RO"/>
              </w:rPr>
            </w:pPr>
          </w:p>
        </w:tc>
        <w:tc>
          <w:tcPr>
            <w:tcW w:w="1330" w:type="pct"/>
            <w:shd w:val="clear" w:color="auto" w:fill="auto"/>
            <w:noWrap/>
            <w:vAlign w:val="bottom"/>
            <w:hideMark/>
          </w:tcPr>
          <w:p w14:paraId="454F9CD7" w14:textId="6513EBBC" w:rsidR="007D7A4F" w:rsidRPr="007D7A4F" w:rsidRDefault="00064492" w:rsidP="007D7A4F">
            <w:pPr>
              <w:spacing w:after="0" w:line="240"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Medici dentiști în cabinete de medicină  școlară</w:t>
            </w:r>
          </w:p>
        </w:tc>
        <w:tc>
          <w:tcPr>
            <w:tcW w:w="534" w:type="pct"/>
            <w:shd w:val="clear" w:color="auto" w:fill="auto"/>
            <w:noWrap/>
            <w:vAlign w:val="bottom"/>
            <w:hideMark/>
          </w:tcPr>
          <w:p w14:paraId="1A40B03C"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0</w:t>
            </w:r>
          </w:p>
        </w:tc>
        <w:tc>
          <w:tcPr>
            <w:tcW w:w="516" w:type="pct"/>
            <w:shd w:val="clear" w:color="auto" w:fill="auto"/>
            <w:noWrap/>
            <w:vAlign w:val="bottom"/>
            <w:hideMark/>
          </w:tcPr>
          <w:p w14:paraId="3EB5B641" w14:textId="77777777" w:rsidR="007D7A4F" w:rsidRPr="007D7A4F" w:rsidRDefault="007D7A4F" w:rsidP="007D7A4F">
            <w:pPr>
              <w:spacing w:after="0" w:line="240" w:lineRule="auto"/>
              <w:jc w:val="right"/>
              <w:rPr>
                <w:rFonts w:ascii="Times New Roman" w:eastAsia="Times New Roman" w:hAnsi="Times New Roman" w:cs="Times New Roman"/>
                <w:color w:val="000000"/>
                <w:lang w:eastAsia="ro-RO"/>
              </w:rPr>
            </w:pPr>
            <w:r w:rsidRPr="007D7A4F">
              <w:rPr>
                <w:rFonts w:ascii="Times New Roman" w:eastAsia="Times New Roman" w:hAnsi="Times New Roman" w:cs="Times New Roman"/>
                <w:color w:val="000000"/>
                <w:lang w:eastAsia="ro-RO"/>
              </w:rPr>
              <w:t>0</w:t>
            </w:r>
          </w:p>
        </w:tc>
      </w:tr>
    </w:tbl>
    <w:p w14:paraId="78BEAC38" w14:textId="77777777" w:rsidR="00C43818" w:rsidRPr="00FE5C66" w:rsidRDefault="00C43818" w:rsidP="00E27D9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sz w:val="24"/>
          <w:szCs w:val="24"/>
        </w:rPr>
      </w:pPr>
    </w:p>
    <w:p w14:paraId="45E1CABE" w14:textId="77777777" w:rsidR="00F413EC" w:rsidRPr="00FE5C66" w:rsidRDefault="00F413EC" w:rsidP="00F413EC">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FE5C66">
        <w:rPr>
          <w:rFonts w:ascii="Times New Roman" w:hAnsi="Times New Roman" w:cs="Times New Roman"/>
          <w:b/>
          <w:sz w:val="24"/>
          <w:szCs w:val="24"/>
        </w:rPr>
        <w:t>Performanța serviciilor de prevenție în sistemul sanitar din România</w:t>
      </w:r>
    </w:p>
    <w:p w14:paraId="022BB22B" w14:textId="77777777" w:rsidR="00F413EC" w:rsidRPr="000C106E" w:rsidRDefault="00F413EC" w:rsidP="00F41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C106E">
        <w:rPr>
          <w:rFonts w:ascii="Times New Roman" w:hAnsi="Times New Roman" w:cs="Times New Roman"/>
        </w:rPr>
        <w:t>Conform Profilului Sănătății 2017</w:t>
      </w:r>
      <w:r w:rsidR="000C106E" w:rsidRPr="000C106E">
        <w:rPr>
          <w:rStyle w:val="FootnoteReference"/>
          <w:rFonts w:ascii="Times New Roman" w:hAnsi="Times New Roman" w:cs="Times New Roman"/>
        </w:rPr>
        <w:footnoteReference w:id="22"/>
      </w:r>
      <w:r w:rsidRPr="000C106E">
        <w:rPr>
          <w:rFonts w:ascii="Times New Roman" w:hAnsi="Times New Roman" w:cs="Times New Roman"/>
        </w:rPr>
        <w:t>, programele de screening nu au funcționat adecvat</w:t>
      </w:r>
      <w:r w:rsidR="00D434D6" w:rsidRPr="000C106E">
        <w:rPr>
          <w:rFonts w:ascii="Times New Roman" w:hAnsi="Times New Roman" w:cs="Times New Roman"/>
        </w:rPr>
        <w:t xml:space="preserve"> în România</w:t>
      </w:r>
      <w:r w:rsidRPr="000C106E">
        <w:rPr>
          <w:rFonts w:ascii="Times New Roman" w:hAnsi="Times New Roman" w:cs="Times New Roman"/>
        </w:rPr>
        <w:t xml:space="preserve">, acest lucru fiind ilustrat de nivelul ridicat de mortalitate prin cancer de col uterin (printre cele mai mari </w:t>
      </w:r>
      <w:r w:rsidRPr="000C106E">
        <w:rPr>
          <w:rFonts w:ascii="Times New Roman" w:hAnsi="Times New Roman" w:cs="Times New Roman"/>
        </w:rPr>
        <w:lastRenderedPageBreak/>
        <w:t xml:space="preserve">din UE) și explicat prin faptul că, în anul 2014, doar 27% dintre femeile cu vârsta între 20-69 ani au raportat că au făcut testul de depistare a acestui cancer în ultimii 3 ani. O situație similară poate fi raportată și în cazul cancerului mamar, unde doar </w:t>
      </w:r>
      <w:r w:rsidRPr="000C106E">
        <w:rPr>
          <w:rFonts w:ascii="Times New Roman" w:hAnsi="Times New Roman" w:cs="Times New Roman"/>
          <w:b/>
        </w:rPr>
        <w:t>6,6%</w:t>
      </w:r>
      <w:r w:rsidRPr="000C106E">
        <w:rPr>
          <w:rFonts w:ascii="Times New Roman" w:hAnsi="Times New Roman" w:cs="Times New Roman"/>
        </w:rPr>
        <w:t xml:space="preserve"> dintre femeile cu vârsta 50-69 de ani din </w:t>
      </w:r>
      <w:r w:rsidRPr="000C106E">
        <w:rPr>
          <w:rFonts w:ascii="Times New Roman" w:hAnsi="Times New Roman" w:cs="Times New Roman"/>
          <w:b/>
        </w:rPr>
        <w:t>România</w:t>
      </w:r>
      <w:r w:rsidRPr="000C106E">
        <w:rPr>
          <w:rFonts w:ascii="Times New Roman" w:hAnsi="Times New Roman" w:cs="Times New Roman"/>
        </w:rPr>
        <w:t xml:space="preserve"> au raporat în anul 2014 că făcut un test de depistare în ultimii doi ani, comparativ cu aproximativ </w:t>
      </w:r>
      <w:r w:rsidRPr="000C106E">
        <w:rPr>
          <w:rFonts w:ascii="Times New Roman" w:hAnsi="Times New Roman" w:cs="Times New Roman"/>
          <w:b/>
        </w:rPr>
        <w:t>65% în UE</w:t>
      </w:r>
      <w:r w:rsidRPr="000C106E">
        <w:rPr>
          <w:rFonts w:ascii="Times New Roman" w:hAnsi="Times New Roman" w:cs="Times New Roman"/>
        </w:rPr>
        <w:t>.</w:t>
      </w:r>
    </w:p>
    <w:p w14:paraId="0EA8D356" w14:textId="77777777" w:rsidR="00A526AA" w:rsidRPr="000C106E" w:rsidRDefault="008278D7" w:rsidP="00827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C106E">
        <w:rPr>
          <w:rFonts w:ascii="Times New Roman" w:hAnsi="Times New Roman" w:cs="Times New Roman"/>
        </w:rPr>
        <w:t>Gradul de acoperire vaccinală pentru copii a scăzut, ratele de vaccinare împotriva difteriei-tetanosului-tusei convulsive și poliomielitei, precum și gradul de acoperire vaccinală împotriva rujeolei în rândul persoanelor cu vârsta de un an scăzând cu 10 puncte procentuale din anul 2000. În cazul adulților, a existat o scădere dramatică a vaccinării împotriva gripei în rândul persoanelor în vârstă. Rata de vaccinare de numai 10 % în 2015 contrastează semnificativ cu rata de 54 % înregistrată în 2007</w:t>
      </w:r>
      <w:r w:rsidR="000C106E">
        <w:rPr>
          <w:rStyle w:val="FootnoteReference"/>
          <w:rFonts w:ascii="Times New Roman" w:hAnsi="Times New Roman" w:cs="Times New Roman"/>
        </w:rPr>
        <w:footnoteReference w:id="23"/>
      </w:r>
      <w:r w:rsidRPr="000C106E">
        <w:rPr>
          <w:rFonts w:ascii="Times New Roman" w:hAnsi="Times New Roman" w:cs="Times New Roman"/>
        </w:rPr>
        <w:t>.</w:t>
      </w:r>
    </w:p>
    <w:p w14:paraId="52BC1123" w14:textId="77777777" w:rsidR="008278D7" w:rsidRPr="000C106E" w:rsidRDefault="008278D7" w:rsidP="00827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C106E">
        <w:rPr>
          <w:rFonts w:ascii="Times New Roman" w:hAnsi="Times New Roman" w:cs="Times New Roman"/>
        </w:rPr>
        <w:t>Mortalitatea care poate fi prevenită prin intervenții de sănătate publică este de asemenea ridicată, în special pentru cauzele de deces legate de consumul de alcool. Astfel, rata standardizată de deces din România pentru mortalitatea provocată de abuzul de alcool (42 per 100 000) este cea mai ridicată în rândul țărilor UE.</w:t>
      </w:r>
    </w:p>
    <w:p w14:paraId="13EA458F" w14:textId="77777777" w:rsidR="008278D7" w:rsidRPr="000C106E" w:rsidRDefault="008C0EA2" w:rsidP="00827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C106E">
        <w:rPr>
          <w:rFonts w:ascii="Times New Roman" w:hAnsi="Times New Roman" w:cs="Times New Roman"/>
        </w:rPr>
        <w:t>În ciuda faptului</w:t>
      </w:r>
      <w:r w:rsidR="008278D7" w:rsidRPr="000C106E">
        <w:rPr>
          <w:rFonts w:ascii="Times New Roman" w:hAnsi="Times New Roman" w:cs="Times New Roman"/>
        </w:rPr>
        <w:t xml:space="preserve"> că a fost recunoscută</w:t>
      </w:r>
      <w:r w:rsidRPr="000C106E">
        <w:rPr>
          <w:rFonts w:ascii="Times New Roman" w:hAnsi="Times New Roman" w:cs="Times New Roman"/>
        </w:rPr>
        <w:t xml:space="preserve"> (în cadrul Strategiei Naționale de Sănătate 2014-2020)</w:t>
      </w:r>
      <w:r w:rsidR="008278D7" w:rsidRPr="000C106E">
        <w:rPr>
          <w:rFonts w:ascii="Times New Roman" w:hAnsi="Times New Roman" w:cs="Times New Roman"/>
        </w:rPr>
        <w:t xml:space="preserve"> performanța suboptimală a serviciilor preventive, </w:t>
      </w:r>
      <w:r w:rsidRPr="000C106E">
        <w:rPr>
          <w:rFonts w:ascii="Times New Roman" w:hAnsi="Times New Roman" w:cs="Times New Roman"/>
        </w:rPr>
        <w:t>și s-a încercat, în cadrul acestei strategii</w:t>
      </w:r>
      <w:r w:rsidR="00EE59A2" w:rsidRPr="000C106E">
        <w:rPr>
          <w:rFonts w:ascii="Times New Roman" w:hAnsi="Times New Roman" w:cs="Times New Roman"/>
        </w:rPr>
        <w:t>,</w:t>
      </w:r>
      <w:r w:rsidRPr="000C106E">
        <w:rPr>
          <w:rFonts w:ascii="Times New Roman" w:hAnsi="Times New Roman" w:cs="Times New Roman"/>
        </w:rPr>
        <w:t xml:space="preserve"> consolidarea componentei</w:t>
      </w:r>
      <w:r w:rsidR="00EE59A2" w:rsidRPr="000C106E">
        <w:rPr>
          <w:rFonts w:ascii="Times New Roman" w:hAnsi="Times New Roman" w:cs="Times New Roman"/>
        </w:rPr>
        <w:t xml:space="preserve"> preventive</w:t>
      </w:r>
      <w:r w:rsidR="008278D7" w:rsidRPr="000C106E">
        <w:rPr>
          <w:rFonts w:ascii="Times New Roman" w:hAnsi="Times New Roman" w:cs="Times New Roman"/>
        </w:rPr>
        <w:t xml:space="preserve"> a programe</w:t>
      </w:r>
      <w:r w:rsidRPr="000C106E">
        <w:rPr>
          <w:rFonts w:ascii="Times New Roman" w:hAnsi="Times New Roman" w:cs="Times New Roman"/>
        </w:rPr>
        <w:t xml:space="preserve">lor de sănătate, fiind în vigoare inițiative naționale </w:t>
      </w:r>
      <w:r w:rsidR="008278D7" w:rsidRPr="000C106E">
        <w:rPr>
          <w:rFonts w:ascii="Times New Roman" w:hAnsi="Times New Roman" w:cs="Times New Roman"/>
        </w:rPr>
        <w:t>în v</w:t>
      </w:r>
      <w:r w:rsidRPr="000C106E">
        <w:rPr>
          <w:rFonts w:ascii="Times New Roman" w:hAnsi="Times New Roman" w:cs="Times New Roman"/>
        </w:rPr>
        <w:t>ederea examinării factorilor de r</w:t>
      </w:r>
      <w:r w:rsidR="008278D7" w:rsidRPr="000C106E">
        <w:rPr>
          <w:rFonts w:ascii="Times New Roman" w:hAnsi="Times New Roman" w:cs="Times New Roman"/>
        </w:rPr>
        <w:t>isc privind bolile cardiovasculare, depistării cancerului și a altor afecți</w:t>
      </w:r>
      <w:r w:rsidRPr="000C106E">
        <w:rPr>
          <w:rFonts w:ascii="Times New Roman" w:hAnsi="Times New Roman" w:cs="Times New Roman"/>
        </w:rPr>
        <w:t xml:space="preserve">uni, </w:t>
      </w:r>
      <w:r w:rsidR="00EE59A2" w:rsidRPr="000C106E">
        <w:rPr>
          <w:rFonts w:ascii="Times New Roman" w:hAnsi="Times New Roman" w:cs="Times New Roman"/>
          <w:b/>
        </w:rPr>
        <w:t>încă n</w:t>
      </w:r>
      <w:r w:rsidR="008278D7" w:rsidRPr="000C106E">
        <w:rPr>
          <w:rFonts w:ascii="Times New Roman" w:hAnsi="Times New Roman" w:cs="Times New Roman"/>
          <w:b/>
        </w:rPr>
        <w:t>u există date publice disponibile priv</w:t>
      </w:r>
      <w:r w:rsidRPr="000C106E">
        <w:rPr>
          <w:rFonts w:ascii="Times New Roman" w:hAnsi="Times New Roman" w:cs="Times New Roman"/>
          <w:b/>
        </w:rPr>
        <w:t xml:space="preserve">ind impactul acestor activități </w:t>
      </w:r>
      <w:r w:rsidR="008278D7" w:rsidRPr="000C106E">
        <w:rPr>
          <w:rFonts w:ascii="Times New Roman" w:hAnsi="Times New Roman" w:cs="Times New Roman"/>
          <w:b/>
        </w:rPr>
        <w:t>asupra ratelor de morbiditate și mortalitate</w:t>
      </w:r>
      <w:r w:rsidR="000C106E" w:rsidRPr="000C106E">
        <w:rPr>
          <w:rFonts w:ascii="Times New Roman" w:hAnsi="Times New Roman" w:cs="Times New Roman"/>
          <w:vertAlign w:val="superscript"/>
        </w:rPr>
        <w:t>24</w:t>
      </w:r>
      <w:r w:rsidR="008278D7" w:rsidRPr="000C106E">
        <w:rPr>
          <w:rFonts w:ascii="Times New Roman" w:hAnsi="Times New Roman" w:cs="Times New Roman"/>
        </w:rPr>
        <w:t>.</w:t>
      </w:r>
    </w:p>
    <w:p w14:paraId="1D7B2A43" w14:textId="77777777" w:rsidR="008C0EA2" w:rsidRPr="00FE5C66" w:rsidRDefault="008C0EA2" w:rsidP="00827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14:paraId="1910FF5E" w14:textId="77777777" w:rsidR="00006844" w:rsidRPr="00C1492C" w:rsidRDefault="00F52349" w:rsidP="0057327C">
      <w:pPr>
        <w:pStyle w:val="ListParagraph"/>
        <w:numPr>
          <w:ilvl w:val="0"/>
          <w:numId w:val="3"/>
        </w:numPr>
        <w:spacing w:after="0"/>
        <w:jc w:val="both"/>
        <w:rPr>
          <w:rFonts w:ascii="Times New Roman" w:hAnsi="Times New Roman" w:cs="Times New Roman"/>
          <w:b/>
          <w:sz w:val="28"/>
          <w:szCs w:val="28"/>
        </w:rPr>
      </w:pPr>
      <w:r w:rsidRPr="00C1492C">
        <w:rPr>
          <w:rFonts w:ascii="Times New Roman" w:hAnsi="Times New Roman" w:cs="Times New Roman"/>
          <w:b/>
          <w:sz w:val="28"/>
          <w:szCs w:val="28"/>
        </w:rPr>
        <w:t>Politici, strategii, planuri de acțiune</w:t>
      </w:r>
      <w:r w:rsidR="00EA743B" w:rsidRPr="00C1492C">
        <w:rPr>
          <w:rFonts w:ascii="Times New Roman" w:hAnsi="Times New Roman" w:cs="Times New Roman"/>
          <w:b/>
          <w:sz w:val="28"/>
          <w:szCs w:val="28"/>
        </w:rPr>
        <w:t xml:space="preserve"> și</w:t>
      </w:r>
      <w:r w:rsidR="00BD1DA2" w:rsidRPr="00C1492C">
        <w:rPr>
          <w:rFonts w:ascii="Times New Roman" w:hAnsi="Times New Roman" w:cs="Times New Roman"/>
          <w:b/>
          <w:sz w:val="28"/>
          <w:szCs w:val="28"/>
        </w:rPr>
        <w:t xml:space="preserve"> instrumente </w:t>
      </w:r>
      <w:r w:rsidR="00D41B03" w:rsidRPr="00C1492C">
        <w:rPr>
          <w:rFonts w:ascii="Times New Roman" w:hAnsi="Times New Roman" w:cs="Times New Roman"/>
          <w:b/>
          <w:sz w:val="28"/>
          <w:szCs w:val="28"/>
        </w:rPr>
        <w:t xml:space="preserve">disponibile </w:t>
      </w:r>
      <w:r w:rsidR="00BD1DA2" w:rsidRPr="00C1492C">
        <w:rPr>
          <w:rFonts w:ascii="Times New Roman" w:hAnsi="Times New Roman" w:cs="Times New Roman"/>
          <w:b/>
          <w:sz w:val="28"/>
          <w:szCs w:val="28"/>
        </w:rPr>
        <w:t>pentru promovarea serviciilor de sănătate preventive</w:t>
      </w:r>
      <w:r w:rsidR="0068419B" w:rsidRPr="00C1492C">
        <w:rPr>
          <w:rFonts w:ascii="Times New Roman" w:hAnsi="Times New Roman" w:cs="Times New Roman"/>
          <w:b/>
          <w:sz w:val="28"/>
          <w:szCs w:val="28"/>
        </w:rPr>
        <w:t xml:space="preserve"> la nivel național </w:t>
      </w:r>
    </w:p>
    <w:p w14:paraId="3C218760" w14:textId="77777777" w:rsidR="00EE59A2" w:rsidRPr="00FE5C66" w:rsidRDefault="00EE59A2" w:rsidP="00EE59A2">
      <w:pPr>
        <w:spacing w:after="0"/>
        <w:jc w:val="both"/>
        <w:rPr>
          <w:rFonts w:ascii="Times New Roman" w:hAnsi="Times New Roman" w:cs="Times New Roman"/>
          <w:sz w:val="24"/>
          <w:szCs w:val="24"/>
        </w:rPr>
      </w:pPr>
    </w:p>
    <w:p w14:paraId="6D5339A0" w14:textId="77777777" w:rsidR="009178E8" w:rsidRPr="000C106E" w:rsidRDefault="00EE59A2" w:rsidP="009178E8">
      <w:pPr>
        <w:spacing w:after="0"/>
        <w:jc w:val="both"/>
        <w:rPr>
          <w:rFonts w:ascii="Times New Roman" w:hAnsi="Times New Roman" w:cs="Times New Roman"/>
        </w:rPr>
      </w:pPr>
      <w:r w:rsidRPr="000C106E">
        <w:rPr>
          <w:rFonts w:ascii="Times New Roman" w:hAnsi="Times New Roman" w:cs="Times New Roman"/>
        </w:rPr>
        <w:t>În contextul datelor prezentate anterior, p</w:t>
      </w:r>
      <w:r w:rsidR="00EA743B" w:rsidRPr="000C106E">
        <w:rPr>
          <w:rFonts w:ascii="Times New Roman" w:hAnsi="Times New Roman" w:cs="Times New Roman"/>
        </w:rPr>
        <w:t>rivind importanța ser</w:t>
      </w:r>
      <w:r w:rsidR="00BF584E" w:rsidRPr="000C106E">
        <w:rPr>
          <w:rFonts w:ascii="Times New Roman" w:hAnsi="Times New Roman" w:cs="Times New Roman"/>
        </w:rPr>
        <w:t>viciilor de sănătate preventive și</w:t>
      </w:r>
      <w:r w:rsidR="00EA743B" w:rsidRPr="000C106E">
        <w:rPr>
          <w:rFonts w:ascii="Times New Roman" w:hAnsi="Times New Roman" w:cs="Times New Roman"/>
        </w:rPr>
        <w:t xml:space="preserve"> decalajul întregistrat între România și majoritatea țărilor UE în ceea ce privește morbiditatea și mortalitatea de cauze prevenibile</w:t>
      </w:r>
      <w:r w:rsidR="00BF584E" w:rsidRPr="000C106E">
        <w:rPr>
          <w:rFonts w:ascii="Times New Roman" w:hAnsi="Times New Roman" w:cs="Times New Roman"/>
        </w:rPr>
        <w:t>, vom prezenta în continuare modalitățile de adresare a acestor</w:t>
      </w:r>
      <w:r w:rsidR="009178E8" w:rsidRPr="000C106E">
        <w:rPr>
          <w:rFonts w:ascii="Times New Roman" w:hAnsi="Times New Roman" w:cs="Times New Roman"/>
        </w:rPr>
        <w:t xml:space="preserve"> servicii</w:t>
      </w:r>
      <w:r w:rsidR="00BF584E" w:rsidRPr="000C106E">
        <w:rPr>
          <w:rFonts w:ascii="Times New Roman" w:hAnsi="Times New Roman" w:cs="Times New Roman"/>
        </w:rPr>
        <w:t xml:space="preserve"> în cadrul a trei documente</w:t>
      </w:r>
      <w:r w:rsidR="00E0613D" w:rsidRPr="000C106E">
        <w:rPr>
          <w:rFonts w:ascii="Times New Roman" w:hAnsi="Times New Roman" w:cs="Times New Roman"/>
        </w:rPr>
        <w:t xml:space="preserve"> strategice</w:t>
      </w:r>
      <w:r w:rsidR="009178E8" w:rsidRPr="000C106E">
        <w:rPr>
          <w:rFonts w:ascii="Times New Roman" w:hAnsi="Times New Roman" w:cs="Times New Roman"/>
        </w:rPr>
        <w:t xml:space="preserve">, respectiv: </w:t>
      </w:r>
      <w:r w:rsidR="001904A7" w:rsidRPr="000C106E">
        <w:rPr>
          <w:rFonts w:ascii="Times New Roman" w:hAnsi="Times New Roman" w:cs="Times New Roman"/>
        </w:rPr>
        <w:t>Strategia Națională de Sănătate 2014-2020</w:t>
      </w:r>
      <w:r w:rsidR="00B42B94" w:rsidRPr="000C106E">
        <w:rPr>
          <w:rFonts w:ascii="Times New Roman" w:hAnsi="Times New Roman" w:cs="Times New Roman"/>
        </w:rPr>
        <w:t xml:space="preserve"> (</w:t>
      </w:r>
      <w:r w:rsidR="00B42B94" w:rsidRPr="000C106E">
        <w:rPr>
          <w:rFonts w:ascii="Times New Roman" w:hAnsi="Times New Roman" w:cs="Times New Roman"/>
          <w:b/>
        </w:rPr>
        <w:t>5.1</w:t>
      </w:r>
      <w:r w:rsidR="00B42B94" w:rsidRPr="000C106E">
        <w:rPr>
          <w:rFonts w:ascii="Times New Roman" w:hAnsi="Times New Roman" w:cs="Times New Roman"/>
        </w:rPr>
        <w:t>)</w:t>
      </w:r>
      <w:r w:rsidR="001904A7" w:rsidRPr="000C106E">
        <w:rPr>
          <w:rFonts w:ascii="Times New Roman" w:hAnsi="Times New Roman" w:cs="Times New Roman"/>
        </w:rPr>
        <w:t>, Ordinul nr. 397/836/2018, respectiv Normele metodologice ale Contractului Cadru de acordare a serviciilor de asistență medicală 2018-2019</w:t>
      </w:r>
      <w:r w:rsidR="00B42B94" w:rsidRPr="000C106E">
        <w:rPr>
          <w:rFonts w:ascii="Times New Roman" w:hAnsi="Times New Roman" w:cs="Times New Roman"/>
        </w:rPr>
        <w:t xml:space="preserve"> (</w:t>
      </w:r>
      <w:r w:rsidR="00B42B94" w:rsidRPr="000C106E">
        <w:rPr>
          <w:rFonts w:ascii="Times New Roman" w:hAnsi="Times New Roman" w:cs="Times New Roman"/>
          <w:b/>
        </w:rPr>
        <w:t>5.2</w:t>
      </w:r>
      <w:r w:rsidR="00B42B94" w:rsidRPr="000C106E">
        <w:rPr>
          <w:rFonts w:ascii="Times New Roman" w:hAnsi="Times New Roman" w:cs="Times New Roman"/>
        </w:rPr>
        <w:t>)</w:t>
      </w:r>
      <w:r w:rsidR="001904A7" w:rsidRPr="000C106E">
        <w:rPr>
          <w:rFonts w:ascii="Times New Roman" w:hAnsi="Times New Roman" w:cs="Times New Roman"/>
        </w:rPr>
        <w:t xml:space="preserve"> și Ordinul nr. 377/2017 – Normele tehnice de realizare a programelor naționale de sănătate</w:t>
      </w:r>
      <w:r w:rsidR="00B42B94" w:rsidRPr="000C106E">
        <w:rPr>
          <w:rFonts w:ascii="Times New Roman" w:hAnsi="Times New Roman" w:cs="Times New Roman"/>
        </w:rPr>
        <w:t xml:space="preserve"> (</w:t>
      </w:r>
      <w:r w:rsidR="00B42B94" w:rsidRPr="000C106E">
        <w:rPr>
          <w:rFonts w:ascii="Times New Roman" w:hAnsi="Times New Roman" w:cs="Times New Roman"/>
          <w:b/>
        </w:rPr>
        <w:t>5.3</w:t>
      </w:r>
      <w:r w:rsidR="00B42B94" w:rsidRPr="000C106E">
        <w:rPr>
          <w:rFonts w:ascii="Times New Roman" w:hAnsi="Times New Roman" w:cs="Times New Roman"/>
        </w:rPr>
        <w:t>)</w:t>
      </w:r>
      <w:r w:rsidR="001904A7" w:rsidRPr="000C106E">
        <w:rPr>
          <w:rFonts w:ascii="Times New Roman" w:hAnsi="Times New Roman" w:cs="Times New Roman"/>
        </w:rPr>
        <w:t xml:space="preserve">. </w:t>
      </w:r>
    </w:p>
    <w:p w14:paraId="2CD6A178" w14:textId="77777777" w:rsidR="001904A7" w:rsidRPr="000C106E" w:rsidRDefault="001904A7" w:rsidP="001904A7">
      <w:pPr>
        <w:spacing w:after="0"/>
        <w:jc w:val="both"/>
        <w:rPr>
          <w:rFonts w:ascii="Times New Roman" w:hAnsi="Times New Roman" w:cs="Times New Roman"/>
        </w:rPr>
      </w:pPr>
      <w:r w:rsidRPr="000C106E">
        <w:rPr>
          <w:rFonts w:ascii="Times New Roman" w:hAnsi="Times New Roman" w:cs="Times New Roman"/>
        </w:rPr>
        <w:t xml:space="preserve">Selectarea, sistematizarea și prezentarea serviciilor de sănătate preventive incluse în aceste documente strategice au rolul de a </w:t>
      </w:r>
      <w:r w:rsidRPr="000C106E">
        <w:rPr>
          <w:rFonts w:ascii="Times New Roman" w:hAnsi="Times New Roman" w:cs="Times New Roman"/>
          <w:b/>
        </w:rPr>
        <w:t>crește nivelul de informare și conștientizare în rândul populației generale</w:t>
      </w:r>
      <w:r w:rsidRPr="000C106E">
        <w:rPr>
          <w:rFonts w:ascii="Times New Roman" w:hAnsi="Times New Roman" w:cs="Times New Roman"/>
        </w:rPr>
        <w:t xml:space="preserve"> cu privire la serviciile preventive pe care aceștia le pot accesa ca beneficiari ai sistemului de asigurări sociale de sănătate și </w:t>
      </w:r>
      <w:r w:rsidRPr="000C106E">
        <w:rPr>
          <w:rFonts w:ascii="Times New Roman" w:hAnsi="Times New Roman" w:cs="Times New Roman"/>
          <w:b/>
        </w:rPr>
        <w:t>de a stimula o atitudine pro-activă</w:t>
      </w:r>
      <w:r w:rsidRPr="000C106E">
        <w:rPr>
          <w:rFonts w:ascii="Times New Roman" w:hAnsi="Times New Roman" w:cs="Times New Roman"/>
        </w:rPr>
        <w:t xml:space="preserve"> din partea acestora pentru accesarea acestor servicii.  </w:t>
      </w:r>
    </w:p>
    <w:p w14:paraId="40FD3343" w14:textId="77777777" w:rsidR="001904A7" w:rsidRPr="000C106E" w:rsidRDefault="001904A7" w:rsidP="009178E8">
      <w:pPr>
        <w:spacing w:after="0"/>
        <w:jc w:val="both"/>
        <w:rPr>
          <w:rFonts w:ascii="Times New Roman" w:hAnsi="Times New Roman" w:cs="Times New Roman"/>
        </w:rPr>
      </w:pPr>
      <w:r w:rsidRPr="000C106E">
        <w:rPr>
          <w:rFonts w:ascii="Times New Roman" w:hAnsi="Times New Roman" w:cs="Times New Roman"/>
        </w:rPr>
        <w:t>De asemenea, ne adresăm specialiștilor din domeniul s</w:t>
      </w:r>
      <w:r w:rsidR="00B42B94" w:rsidRPr="000C106E">
        <w:rPr>
          <w:rFonts w:ascii="Times New Roman" w:hAnsi="Times New Roman" w:cs="Times New Roman"/>
        </w:rPr>
        <w:t>ănătății (în special categoriilor de personal</w:t>
      </w:r>
      <w:r w:rsidRPr="000C106E">
        <w:rPr>
          <w:rFonts w:ascii="Times New Roman" w:hAnsi="Times New Roman" w:cs="Times New Roman"/>
        </w:rPr>
        <w:t xml:space="preserve"> prezentate </w:t>
      </w:r>
      <w:r w:rsidR="00B42B94" w:rsidRPr="000C106E">
        <w:rPr>
          <w:rFonts w:ascii="Times New Roman" w:hAnsi="Times New Roman" w:cs="Times New Roman"/>
        </w:rPr>
        <w:t>anterior</w:t>
      </w:r>
      <w:r w:rsidRPr="000C106E">
        <w:rPr>
          <w:rFonts w:ascii="Times New Roman" w:hAnsi="Times New Roman" w:cs="Times New Roman"/>
        </w:rPr>
        <w:t xml:space="preserve">), în scopul </w:t>
      </w:r>
      <w:r w:rsidRPr="000C106E">
        <w:rPr>
          <w:rFonts w:ascii="Times New Roman" w:hAnsi="Times New Roman" w:cs="Times New Roman"/>
          <w:b/>
        </w:rPr>
        <w:t xml:space="preserve">responsabilizării </w:t>
      </w:r>
      <w:r w:rsidRPr="000C106E">
        <w:rPr>
          <w:rFonts w:ascii="Times New Roman" w:hAnsi="Times New Roman" w:cs="Times New Roman"/>
        </w:rPr>
        <w:t>acestora cu privire la serviciile preven</w:t>
      </w:r>
      <w:r w:rsidR="00763A49">
        <w:rPr>
          <w:rFonts w:ascii="Times New Roman" w:hAnsi="Times New Roman" w:cs="Times New Roman"/>
        </w:rPr>
        <w:t>tive pe care trebuie să le furnizeze</w:t>
      </w:r>
      <w:r w:rsidRPr="000C106E">
        <w:rPr>
          <w:rFonts w:ascii="Times New Roman" w:hAnsi="Times New Roman" w:cs="Times New Roman"/>
        </w:rPr>
        <w:t xml:space="preserve"> dar și prin </w:t>
      </w:r>
      <w:r w:rsidRPr="000C106E">
        <w:rPr>
          <w:rFonts w:ascii="Times New Roman" w:hAnsi="Times New Roman" w:cs="Times New Roman"/>
          <w:b/>
        </w:rPr>
        <w:t>oferirea de sprijin instrumental</w:t>
      </w:r>
      <w:r w:rsidR="00763A49">
        <w:rPr>
          <w:rFonts w:ascii="Times New Roman" w:hAnsi="Times New Roman" w:cs="Times New Roman"/>
        </w:rPr>
        <w:t xml:space="preserve"> în procesul de acordare</w:t>
      </w:r>
      <w:r w:rsidRPr="000C106E">
        <w:rPr>
          <w:rFonts w:ascii="Times New Roman" w:hAnsi="Times New Roman" w:cs="Times New Roman"/>
        </w:rPr>
        <w:t xml:space="preserve"> a </w:t>
      </w:r>
      <w:r w:rsidR="00B42B94" w:rsidRPr="000C106E">
        <w:rPr>
          <w:rFonts w:ascii="Times New Roman" w:hAnsi="Times New Roman" w:cs="Times New Roman"/>
        </w:rPr>
        <w:t>acestor servicii</w:t>
      </w:r>
      <w:r w:rsidRPr="000C106E">
        <w:rPr>
          <w:rFonts w:ascii="Times New Roman" w:hAnsi="Times New Roman" w:cs="Times New Roman"/>
        </w:rPr>
        <w:t>, prin prezentarea pe scurt a unor instrumente de lucru,</w:t>
      </w:r>
      <w:r w:rsidR="00B42B94" w:rsidRPr="000C106E">
        <w:rPr>
          <w:rFonts w:ascii="Times New Roman" w:hAnsi="Times New Roman" w:cs="Times New Roman"/>
        </w:rPr>
        <w:t xml:space="preserve"> </w:t>
      </w:r>
      <w:r w:rsidRPr="000C106E">
        <w:rPr>
          <w:rFonts w:ascii="Times New Roman" w:hAnsi="Times New Roman" w:cs="Times New Roman"/>
        </w:rPr>
        <w:t>ghiduri de prevenție, dezvoltate în cadrul proiectului RO19.04 „Intervenții la mai multe niveluri pentru prevenția bolilor netransmisibile (BNT) asociate stilului de viață în România”</w:t>
      </w:r>
      <w:r w:rsidR="00B42B94" w:rsidRPr="000C106E">
        <w:rPr>
          <w:rFonts w:ascii="Times New Roman" w:hAnsi="Times New Roman" w:cs="Times New Roman"/>
        </w:rPr>
        <w:t xml:space="preserve"> (</w:t>
      </w:r>
      <w:r w:rsidR="00B42B94" w:rsidRPr="000C106E">
        <w:rPr>
          <w:rFonts w:ascii="Times New Roman" w:hAnsi="Times New Roman" w:cs="Times New Roman"/>
          <w:b/>
        </w:rPr>
        <w:t>5.4</w:t>
      </w:r>
      <w:r w:rsidR="00B42B94" w:rsidRPr="000C106E">
        <w:rPr>
          <w:rFonts w:ascii="Times New Roman" w:hAnsi="Times New Roman" w:cs="Times New Roman"/>
        </w:rPr>
        <w:t>)</w:t>
      </w:r>
      <w:r w:rsidRPr="000C106E">
        <w:rPr>
          <w:rFonts w:ascii="Times New Roman" w:hAnsi="Times New Roman" w:cs="Times New Roman"/>
        </w:rPr>
        <w:t xml:space="preserve">. </w:t>
      </w:r>
    </w:p>
    <w:p w14:paraId="4CA473CC" w14:textId="77777777" w:rsidR="001904A7" w:rsidRPr="000C106E" w:rsidRDefault="009178E8" w:rsidP="001904A7">
      <w:pPr>
        <w:pStyle w:val="ListParagraph"/>
        <w:numPr>
          <w:ilvl w:val="0"/>
          <w:numId w:val="41"/>
        </w:numPr>
        <w:spacing w:after="0"/>
        <w:jc w:val="both"/>
        <w:rPr>
          <w:rFonts w:ascii="Times New Roman" w:hAnsi="Times New Roman" w:cs="Times New Roman"/>
        </w:rPr>
      </w:pPr>
      <w:r w:rsidRPr="000C106E">
        <w:rPr>
          <w:rFonts w:ascii="Times New Roman" w:hAnsi="Times New Roman" w:cs="Times New Roman"/>
          <w:b/>
        </w:rPr>
        <w:t>Strategia N</w:t>
      </w:r>
      <w:r w:rsidR="00E0613D" w:rsidRPr="000C106E">
        <w:rPr>
          <w:rFonts w:ascii="Times New Roman" w:hAnsi="Times New Roman" w:cs="Times New Roman"/>
          <w:b/>
        </w:rPr>
        <w:t>ațională de Sănătate 2014-2020</w:t>
      </w:r>
      <w:r w:rsidR="000C106E">
        <w:rPr>
          <w:rStyle w:val="FootnoteReference"/>
          <w:rFonts w:ascii="Times New Roman" w:hAnsi="Times New Roman" w:cs="Times New Roman"/>
          <w:b/>
        </w:rPr>
        <w:footnoteReference w:id="24"/>
      </w:r>
      <w:r w:rsidR="000A03D2" w:rsidRPr="000C106E">
        <w:rPr>
          <w:rFonts w:ascii="Times New Roman" w:hAnsi="Times New Roman" w:cs="Times New Roman"/>
        </w:rPr>
        <w:t xml:space="preserve">. </w:t>
      </w:r>
    </w:p>
    <w:p w14:paraId="4D013B6B" w14:textId="77777777" w:rsidR="001904A7" w:rsidRPr="000C106E" w:rsidRDefault="000A03D2" w:rsidP="001904A7">
      <w:pPr>
        <w:spacing w:after="0"/>
        <w:jc w:val="both"/>
        <w:rPr>
          <w:rFonts w:ascii="Times New Roman" w:hAnsi="Times New Roman" w:cs="Times New Roman"/>
        </w:rPr>
      </w:pPr>
      <w:r w:rsidRPr="000C106E">
        <w:rPr>
          <w:rFonts w:ascii="Times New Roman" w:hAnsi="Times New Roman" w:cs="Times New Roman"/>
        </w:rPr>
        <w:lastRenderedPageBreak/>
        <w:t xml:space="preserve">În cadrul acestui document, măsurile de prevenție sunt prezentate în cadrul unui obiectiv special dedicat acestora (respectiv </w:t>
      </w:r>
      <w:r w:rsidRPr="000C106E">
        <w:rPr>
          <w:rFonts w:ascii="Times New Roman" w:hAnsi="Times New Roman" w:cs="Times New Roman"/>
          <w:b/>
        </w:rPr>
        <w:t>Obiectivul General 3</w:t>
      </w:r>
      <w:r w:rsidRPr="000C106E">
        <w:rPr>
          <w:rFonts w:ascii="Times New Roman" w:hAnsi="Times New Roman" w:cs="Times New Roman"/>
        </w:rPr>
        <w:t xml:space="preserve"> - </w:t>
      </w:r>
      <w:r w:rsidRPr="000C106E">
        <w:rPr>
          <w:rFonts w:ascii="Times New Roman" w:hAnsi="Times New Roman" w:cs="Times New Roman"/>
          <w:i/>
        </w:rPr>
        <w:t>Diminuarea ritmului de creştere a morbidităţii şi mortalităţii prin boli netransmisibile şi reducerea poverii lor în populaţie prin programe naţionale, regionale şi locale de sănătate cu caracter preventiv</w:t>
      </w:r>
      <w:r w:rsidRPr="000C106E">
        <w:rPr>
          <w:rFonts w:ascii="Times New Roman" w:hAnsi="Times New Roman" w:cs="Times New Roman"/>
        </w:rPr>
        <w:t xml:space="preserve">, </w:t>
      </w:r>
      <w:r w:rsidRPr="000C106E">
        <w:rPr>
          <w:rFonts w:ascii="Times New Roman" w:hAnsi="Times New Roman" w:cs="Times New Roman"/>
          <w:b/>
        </w:rPr>
        <w:t>Obiectivul Specific 3.1.</w:t>
      </w:r>
      <w:r w:rsidRPr="000C106E">
        <w:rPr>
          <w:rFonts w:ascii="Times New Roman" w:hAnsi="Times New Roman" w:cs="Times New Roman"/>
        </w:rPr>
        <w:t xml:space="preserve"> - </w:t>
      </w:r>
      <w:r w:rsidRPr="000C106E">
        <w:rPr>
          <w:rFonts w:ascii="Times New Roman" w:hAnsi="Times New Roman" w:cs="Times New Roman"/>
          <w:i/>
        </w:rPr>
        <w:t>Creșterea eficacității și rolului promovării sănătății în reducerea poverii bolii în populație în domeniile prioritare</w:t>
      </w:r>
      <w:r w:rsidRPr="000C106E">
        <w:rPr>
          <w:rFonts w:ascii="Times New Roman" w:hAnsi="Times New Roman" w:cs="Times New Roman"/>
        </w:rPr>
        <w:t xml:space="preserve">), dar și în cadrul altor obiective, ca modalitate de </w:t>
      </w:r>
      <w:r w:rsidR="009D5E97" w:rsidRPr="000C106E">
        <w:rPr>
          <w:rFonts w:ascii="Times New Roman" w:hAnsi="Times New Roman" w:cs="Times New Roman"/>
        </w:rPr>
        <w:t xml:space="preserve">promovare a sănătății în rândul anumitor categorii populaționale (de ex. pentru îmbunătățirea stării de sănătate și nutriție a femeii și copilului, a populației din mediul rural și a grupurilor vulnerabile inclusiv Roma) sau de </w:t>
      </w:r>
      <w:r w:rsidRPr="000C106E">
        <w:rPr>
          <w:rFonts w:ascii="Times New Roman" w:hAnsi="Times New Roman" w:cs="Times New Roman"/>
        </w:rPr>
        <w:t xml:space="preserve">prevenire și limitare a impactului negativ </w:t>
      </w:r>
      <w:r w:rsidR="00763A49">
        <w:rPr>
          <w:rFonts w:ascii="Times New Roman" w:hAnsi="Times New Roman" w:cs="Times New Roman"/>
        </w:rPr>
        <w:t>al diferitelor boli transmisibile</w:t>
      </w:r>
      <w:r w:rsidR="009D5E97" w:rsidRPr="000C106E">
        <w:rPr>
          <w:rFonts w:ascii="Times New Roman" w:hAnsi="Times New Roman" w:cs="Times New Roman"/>
        </w:rPr>
        <w:t xml:space="preserve"> (tuberculoza, HIV/SIDA, hepatitele B și C)</w:t>
      </w:r>
      <w:r w:rsidRPr="000C106E">
        <w:rPr>
          <w:rFonts w:ascii="Times New Roman" w:hAnsi="Times New Roman" w:cs="Times New Roman"/>
        </w:rPr>
        <w:t xml:space="preserve"> ș</w:t>
      </w:r>
      <w:r w:rsidR="009D5E97" w:rsidRPr="000C106E">
        <w:rPr>
          <w:rFonts w:ascii="Times New Roman" w:hAnsi="Times New Roman" w:cs="Times New Roman"/>
        </w:rPr>
        <w:t xml:space="preserve">i cronice (DZ, boli cardiovasculare, cancere, boli mintale).   </w:t>
      </w:r>
    </w:p>
    <w:p w14:paraId="43514AD1" w14:textId="77777777" w:rsidR="000F1494" w:rsidRPr="000C106E" w:rsidRDefault="000F1494" w:rsidP="001904A7">
      <w:pPr>
        <w:spacing w:after="0"/>
        <w:jc w:val="both"/>
        <w:rPr>
          <w:rFonts w:ascii="Times New Roman" w:hAnsi="Times New Roman" w:cs="Times New Roman"/>
        </w:rPr>
      </w:pPr>
      <w:r w:rsidRPr="000C106E">
        <w:rPr>
          <w:rFonts w:ascii="Times New Roman" w:hAnsi="Times New Roman" w:cs="Times New Roman"/>
        </w:rPr>
        <w:t xml:space="preserve">Stadiul implementării Strategiei Naționale de Sănătate 2014-2020 poate fi analizat prin intermediul indicatorilor stabiliți în cadrul </w:t>
      </w:r>
      <w:r w:rsidRPr="000C106E">
        <w:rPr>
          <w:rFonts w:ascii="Times New Roman" w:hAnsi="Times New Roman" w:cs="Times New Roman"/>
          <w:b/>
        </w:rPr>
        <w:t>Anexei 2 - Plan de acţiuni pe perioada 2014-2020 pentru implementarea Strategiei naţionale</w:t>
      </w:r>
      <w:r w:rsidR="000C106E">
        <w:rPr>
          <w:rStyle w:val="FootnoteReference"/>
          <w:rFonts w:ascii="Times New Roman" w:hAnsi="Times New Roman" w:cs="Times New Roman"/>
          <w:b/>
        </w:rPr>
        <w:footnoteReference w:id="25"/>
      </w:r>
      <w:r w:rsidRPr="000C106E">
        <w:rPr>
          <w:rFonts w:ascii="Times New Roman" w:hAnsi="Times New Roman" w:cs="Times New Roman"/>
        </w:rPr>
        <w:t xml:space="preserve"> și a rapoartelor de monitorizare anuală a progresului atins în atingerea acestor indicatori</w:t>
      </w:r>
      <w:r w:rsidR="000C106E">
        <w:rPr>
          <w:rStyle w:val="FootnoteReference"/>
          <w:rFonts w:ascii="Times New Roman" w:hAnsi="Times New Roman" w:cs="Times New Roman"/>
        </w:rPr>
        <w:footnoteReference w:id="26"/>
      </w:r>
      <w:r w:rsidRPr="000C106E">
        <w:rPr>
          <w:rFonts w:ascii="Times New Roman" w:hAnsi="Times New Roman" w:cs="Times New Roman"/>
        </w:rPr>
        <w:t xml:space="preserve">. </w:t>
      </w:r>
    </w:p>
    <w:p w14:paraId="602F3180" w14:textId="77777777" w:rsidR="00B42B94" w:rsidRDefault="00B42B94" w:rsidP="001904A7">
      <w:pPr>
        <w:spacing w:after="0"/>
        <w:jc w:val="both"/>
        <w:rPr>
          <w:rFonts w:ascii="Times New Roman" w:hAnsi="Times New Roman" w:cs="Times New Roman"/>
          <w:sz w:val="24"/>
          <w:szCs w:val="24"/>
        </w:rPr>
      </w:pPr>
    </w:p>
    <w:p w14:paraId="0D8AD857" w14:textId="77777777" w:rsidR="001904A7" w:rsidRPr="001904A7" w:rsidRDefault="001904A7" w:rsidP="00B42B94">
      <w:pPr>
        <w:pStyle w:val="ListParagraph"/>
        <w:numPr>
          <w:ilvl w:val="0"/>
          <w:numId w:val="41"/>
        </w:numPr>
        <w:spacing w:after="0"/>
        <w:ind w:left="0" w:firstLine="0"/>
        <w:jc w:val="both"/>
        <w:rPr>
          <w:rFonts w:ascii="Times New Roman" w:hAnsi="Times New Roman" w:cs="Times New Roman"/>
          <w:sz w:val="24"/>
          <w:szCs w:val="24"/>
        </w:rPr>
      </w:pPr>
      <w:r w:rsidRPr="00B42B94">
        <w:rPr>
          <w:rFonts w:ascii="Times New Roman" w:hAnsi="Times New Roman" w:cs="Times New Roman"/>
          <w:b/>
          <w:sz w:val="24"/>
          <w:szCs w:val="24"/>
        </w:rPr>
        <w:t>Ordinul nr. 397/836/2018</w:t>
      </w:r>
      <w:r w:rsidRPr="001904A7">
        <w:rPr>
          <w:rFonts w:ascii="Times New Roman" w:hAnsi="Times New Roman" w:cs="Times New Roman"/>
          <w:sz w:val="24"/>
          <w:szCs w:val="24"/>
        </w:rPr>
        <w:t xml:space="preserve"> privind aprobarea </w:t>
      </w:r>
      <w:r w:rsidRPr="001904A7">
        <w:rPr>
          <w:rFonts w:ascii="Times New Roman" w:hAnsi="Times New Roman" w:cs="Times New Roman"/>
          <w:b/>
          <w:sz w:val="24"/>
          <w:szCs w:val="24"/>
        </w:rPr>
        <w:t>Normelor metodologice de aplicare</w:t>
      </w:r>
      <w:r w:rsidRPr="001904A7">
        <w:rPr>
          <w:rFonts w:ascii="Times New Roman" w:hAnsi="Times New Roman" w:cs="Times New Roman"/>
          <w:sz w:val="24"/>
          <w:szCs w:val="24"/>
        </w:rPr>
        <w:t xml:space="preserve"> în anul 2018 a Hotarârii Guvernului nr. 140/2018 pentru aprobarea pachetelor de servicii si a </w:t>
      </w:r>
      <w:r w:rsidRPr="001904A7">
        <w:rPr>
          <w:rFonts w:ascii="Times New Roman" w:hAnsi="Times New Roman" w:cs="Times New Roman"/>
          <w:b/>
          <w:sz w:val="24"/>
          <w:szCs w:val="24"/>
        </w:rPr>
        <w:t>Contractului-cadru</w:t>
      </w:r>
      <w:r w:rsidR="001A029B">
        <w:rPr>
          <w:rFonts w:ascii="Times New Roman" w:hAnsi="Times New Roman" w:cs="Times New Roman"/>
          <w:sz w:val="24"/>
          <w:szCs w:val="24"/>
        </w:rPr>
        <w:t xml:space="preserve"> care reglementează condițiile acordării asistenței medicale, a medicamentelor ș</w:t>
      </w:r>
      <w:r w:rsidRPr="001904A7">
        <w:rPr>
          <w:rFonts w:ascii="Times New Roman" w:hAnsi="Times New Roman" w:cs="Times New Roman"/>
          <w:sz w:val="24"/>
          <w:szCs w:val="24"/>
        </w:rPr>
        <w:t>i a dispozitivelor medicale în cadrul sistemului de asi</w:t>
      </w:r>
      <w:r w:rsidR="001A029B">
        <w:rPr>
          <w:rFonts w:ascii="Times New Roman" w:hAnsi="Times New Roman" w:cs="Times New Roman"/>
          <w:sz w:val="24"/>
          <w:szCs w:val="24"/>
        </w:rPr>
        <w:t>gurări sociale de sănă</w:t>
      </w:r>
      <w:r w:rsidRPr="001904A7">
        <w:rPr>
          <w:rFonts w:ascii="Times New Roman" w:hAnsi="Times New Roman" w:cs="Times New Roman"/>
          <w:sz w:val="24"/>
          <w:szCs w:val="24"/>
        </w:rPr>
        <w:t xml:space="preserve">tate pentru anii 2018-2019  </w:t>
      </w:r>
    </w:p>
    <w:p w14:paraId="229A371B" w14:textId="77777777" w:rsidR="00C90AC3" w:rsidRPr="00BC758C" w:rsidRDefault="000F1494" w:rsidP="00211700">
      <w:pPr>
        <w:spacing w:after="0"/>
        <w:jc w:val="both"/>
        <w:rPr>
          <w:rFonts w:ascii="Times New Roman" w:hAnsi="Times New Roman" w:cs="Times New Roman"/>
        </w:rPr>
      </w:pPr>
      <w:r w:rsidRPr="00BC758C">
        <w:rPr>
          <w:rFonts w:ascii="Times New Roman" w:hAnsi="Times New Roman" w:cs="Times New Roman"/>
          <w:b/>
        </w:rPr>
        <w:t>Contracul cadru</w:t>
      </w:r>
      <w:r w:rsidR="00D64C26" w:rsidRPr="00BC758C">
        <w:rPr>
          <w:rFonts w:ascii="Times New Roman" w:hAnsi="Times New Roman" w:cs="Times New Roman"/>
          <w:b/>
        </w:rPr>
        <w:t xml:space="preserve"> pentru anii 2018-2019</w:t>
      </w:r>
      <w:r w:rsidR="00D64C26" w:rsidRPr="00BC758C">
        <w:rPr>
          <w:rFonts w:ascii="Times New Roman" w:hAnsi="Times New Roman" w:cs="Times New Roman"/>
        </w:rPr>
        <w:t xml:space="preserve"> </w:t>
      </w:r>
      <w:r w:rsidR="00211700" w:rsidRPr="00BC758C">
        <w:rPr>
          <w:rFonts w:ascii="Times New Roman" w:hAnsi="Times New Roman" w:cs="Times New Roman"/>
        </w:rPr>
        <w:t>stipule</w:t>
      </w:r>
      <w:r w:rsidR="00D64C26" w:rsidRPr="00BC758C">
        <w:rPr>
          <w:rFonts w:ascii="Times New Roman" w:hAnsi="Times New Roman" w:cs="Times New Roman"/>
        </w:rPr>
        <w:t>ază tipurile de servicii preven</w:t>
      </w:r>
      <w:r w:rsidR="00211700" w:rsidRPr="00BC758C">
        <w:rPr>
          <w:rFonts w:ascii="Times New Roman" w:hAnsi="Times New Roman" w:cs="Times New Roman"/>
        </w:rPr>
        <w:t>t</w:t>
      </w:r>
      <w:r w:rsidR="00D64C26" w:rsidRPr="00BC758C">
        <w:rPr>
          <w:rFonts w:ascii="Times New Roman" w:hAnsi="Times New Roman" w:cs="Times New Roman"/>
        </w:rPr>
        <w:t>i</w:t>
      </w:r>
      <w:r w:rsidR="00211700" w:rsidRPr="00BC758C">
        <w:rPr>
          <w:rFonts w:ascii="Times New Roman" w:hAnsi="Times New Roman" w:cs="Times New Roman"/>
        </w:rPr>
        <w:t>ve de care pot beneficia persoanele asigurate</w:t>
      </w:r>
      <w:r w:rsidR="00D64C26" w:rsidRPr="00BC758C">
        <w:rPr>
          <w:rFonts w:ascii="Times New Roman" w:hAnsi="Times New Roman" w:cs="Times New Roman"/>
        </w:rPr>
        <w:t xml:space="preserve"> </w:t>
      </w:r>
      <w:r w:rsidR="00211700" w:rsidRPr="00BC758C">
        <w:rPr>
          <w:rFonts w:ascii="Times New Roman" w:hAnsi="Times New Roman" w:cs="Times New Roman"/>
        </w:rPr>
        <w:t>în sistemul de asigurări</w:t>
      </w:r>
      <w:r w:rsidR="00D64C26" w:rsidRPr="00BC758C">
        <w:rPr>
          <w:rFonts w:ascii="Times New Roman" w:hAnsi="Times New Roman" w:cs="Times New Roman"/>
        </w:rPr>
        <w:t xml:space="preserve"> sociale de sănătate, conform pachetului de servicii de bază în asistența medicală primară.</w:t>
      </w:r>
      <w:r w:rsidR="00DE3422" w:rsidRPr="00BC758C">
        <w:rPr>
          <w:rFonts w:ascii="Times New Roman" w:hAnsi="Times New Roman" w:cs="Times New Roman"/>
        </w:rPr>
        <w:t xml:space="preserve"> </w:t>
      </w:r>
    </w:p>
    <w:p w14:paraId="1140D4D0" w14:textId="77777777" w:rsidR="00DE3422" w:rsidRPr="00BC758C" w:rsidRDefault="00DE3422" w:rsidP="00211700">
      <w:pPr>
        <w:spacing w:after="0"/>
        <w:jc w:val="both"/>
        <w:rPr>
          <w:rFonts w:ascii="Times New Roman" w:hAnsi="Times New Roman" w:cs="Times New Roman"/>
        </w:rPr>
      </w:pPr>
      <w:r w:rsidRPr="00BC758C">
        <w:rPr>
          <w:rFonts w:ascii="Times New Roman" w:hAnsi="Times New Roman" w:cs="Times New Roman"/>
        </w:rPr>
        <w:t xml:space="preserve">Astfel, </w:t>
      </w:r>
      <w:r w:rsidRPr="00BC758C">
        <w:rPr>
          <w:rFonts w:ascii="Times New Roman" w:hAnsi="Times New Roman" w:cs="Times New Roman"/>
          <w:b/>
        </w:rPr>
        <w:t>persoanele cu vârsta între 0-18 ani</w:t>
      </w:r>
      <w:r w:rsidRPr="00BC758C">
        <w:rPr>
          <w:rFonts w:ascii="Times New Roman" w:hAnsi="Times New Roman" w:cs="Times New Roman"/>
        </w:rPr>
        <w:t xml:space="preserve"> pot beneficia de consultații preventive privind: creșterea și dezvoltarea, starea de nutriție și practicile nutriționale și depistarea și intervenția în consecință a riscurilor specifice fiecărei grupe de vârstă și sex. </w:t>
      </w:r>
      <w:r w:rsidRPr="00BC758C">
        <w:rPr>
          <w:rFonts w:ascii="Times New Roman" w:hAnsi="Times New Roman" w:cs="Times New Roman"/>
          <w:b/>
          <w:color w:val="FF0000"/>
        </w:rPr>
        <w:t>Anexa nr. 2B</w:t>
      </w:r>
      <w:r w:rsidRPr="00BC758C">
        <w:rPr>
          <w:rFonts w:ascii="Times New Roman" w:hAnsi="Times New Roman" w:cs="Times New Roman"/>
        </w:rPr>
        <w:t xml:space="preserve"> (atașată ca anexă și la această analiză de situație) detaliază periodicitatea și conținutul acestor consultații. Conform aceluiași document, </w:t>
      </w:r>
      <w:r w:rsidRPr="00BC758C">
        <w:rPr>
          <w:rFonts w:ascii="Times New Roman" w:hAnsi="Times New Roman" w:cs="Times New Roman"/>
          <w:b/>
        </w:rPr>
        <w:t>copii cu vârsta între 2 și 18 ani</w:t>
      </w:r>
      <w:r w:rsidRPr="00BC758C">
        <w:rPr>
          <w:rFonts w:ascii="Times New Roman" w:hAnsi="Times New Roman" w:cs="Times New Roman"/>
        </w:rPr>
        <w:t xml:space="preserve">, pot beneficia anual de investigații paraclinice, conform grupei de vârstă și a riscurilor asociate acelei vârste. </w:t>
      </w:r>
    </w:p>
    <w:p w14:paraId="7F30E668" w14:textId="77777777" w:rsidR="00211700" w:rsidRPr="00BC758C" w:rsidRDefault="00DE3422" w:rsidP="00211700">
      <w:pPr>
        <w:spacing w:after="0"/>
        <w:jc w:val="both"/>
        <w:rPr>
          <w:rFonts w:ascii="Times New Roman" w:hAnsi="Times New Roman" w:cs="Times New Roman"/>
        </w:rPr>
      </w:pPr>
      <w:r w:rsidRPr="00BC758C">
        <w:rPr>
          <w:rFonts w:ascii="Times New Roman" w:hAnsi="Times New Roman" w:cs="Times New Roman"/>
        </w:rPr>
        <w:t xml:space="preserve">O a doua categorie populațională care poate beneficia de servicii de prevenție este reprezentată de </w:t>
      </w:r>
      <w:r w:rsidRPr="00BC758C">
        <w:rPr>
          <w:rFonts w:ascii="Times New Roman" w:hAnsi="Times New Roman" w:cs="Times New Roman"/>
          <w:b/>
        </w:rPr>
        <w:t>femeia gravidă</w:t>
      </w:r>
      <w:r w:rsidRPr="00BC758C">
        <w:rPr>
          <w:rFonts w:ascii="Times New Roman" w:hAnsi="Times New Roman" w:cs="Times New Roman"/>
        </w:rPr>
        <w:t xml:space="preserve">, a cărei dispensarizare a sarcinii, cu toate serviciile aferente (de exemplu luarea în evidență, urmărirea lunară până în luna a șaptea și de două ori pe lună în lunile 7-9, urmărirea lehuzei, promovarea alimentației exclusive la sân, inclusiv sfaturi legate de alăptare, recomandare testare HIV, hepatită B și C, precum și alte investigații paraclinice necesare, dintre cele prevăzute în pachetul de bază), este oferită gratuit ca parte a asigurării sociale de sănătate. </w:t>
      </w:r>
    </w:p>
    <w:p w14:paraId="1204227D" w14:textId="77777777" w:rsidR="001C4504" w:rsidRPr="00BC758C" w:rsidRDefault="001C4504" w:rsidP="00211700">
      <w:pPr>
        <w:spacing w:after="0"/>
        <w:jc w:val="both"/>
        <w:rPr>
          <w:rFonts w:ascii="Times New Roman" w:hAnsi="Times New Roman" w:cs="Times New Roman"/>
        </w:rPr>
      </w:pPr>
      <w:r w:rsidRPr="00BC758C">
        <w:rPr>
          <w:rFonts w:ascii="Times New Roman" w:hAnsi="Times New Roman" w:cs="Times New Roman"/>
        </w:rPr>
        <w:t xml:space="preserve">Indivizii cu </w:t>
      </w:r>
      <w:r w:rsidRPr="00BC758C">
        <w:rPr>
          <w:rFonts w:ascii="Times New Roman" w:hAnsi="Times New Roman" w:cs="Times New Roman"/>
          <w:b/>
        </w:rPr>
        <w:t>vârsta între 18-39 ani</w:t>
      </w:r>
      <w:r w:rsidRPr="00BC758C">
        <w:rPr>
          <w:rFonts w:ascii="Times New Roman" w:hAnsi="Times New Roman" w:cs="Times New Roman"/>
        </w:rPr>
        <w:t xml:space="preserve">, asimptomatici, pot beneficia, odată la 3 ani calendaristici, de consultații pentru evaluarea riscului individual, prin completarea de către medicul de familie a riscogramei. Pentru persoanele depistate cu risc înalt se pot deconta două consultații anual/asigurat, a doua în maximum 90 de zile de la prima. Pentru indivizii cu </w:t>
      </w:r>
      <w:r w:rsidRPr="00BC758C">
        <w:rPr>
          <w:rFonts w:ascii="Times New Roman" w:hAnsi="Times New Roman" w:cs="Times New Roman"/>
          <w:b/>
        </w:rPr>
        <w:t xml:space="preserve">vârsta </w:t>
      </w:r>
      <w:r w:rsidRPr="00493C8D">
        <w:rPr>
          <w:rFonts w:ascii="Times New Roman" w:hAnsi="Times New Roman" w:cs="Times New Roman"/>
          <w:b/>
          <w:lang w:val="fr-FR"/>
        </w:rPr>
        <w:t xml:space="preserve">&gt; </w:t>
      </w:r>
      <w:r w:rsidRPr="00BC758C">
        <w:rPr>
          <w:rFonts w:ascii="Times New Roman" w:hAnsi="Times New Roman" w:cs="Times New Roman"/>
          <w:b/>
        </w:rPr>
        <w:t>40 ani</w:t>
      </w:r>
      <w:r w:rsidRPr="00BC758C">
        <w:rPr>
          <w:rFonts w:ascii="Times New Roman" w:hAnsi="Times New Roman" w:cs="Times New Roman"/>
        </w:rPr>
        <w:t xml:space="preserve">, </w:t>
      </w:r>
    </w:p>
    <w:p w14:paraId="43ABCEE1" w14:textId="77777777" w:rsidR="001C4504" w:rsidRPr="00BC758C" w:rsidRDefault="001C4504" w:rsidP="00211700">
      <w:pPr>
        <w:spacing w:after="0"/>
        <w:jc w:val="both"/>
        <w:rPr>
          <w:rFonts w:ascii="Times New Roman" w:hAnsi="Times New Roman" w:cs="Times New Roman"/>
        </w:rPr>
      </w:pPr>
      <w:r w:rsidRPr="00BC758C">
        <w:rPr>
          <w:rFonts w:ascii="Times New Roman" w:hAnsi="Times New Roman" w:cs="Times New Roman"/>
        </w:rPr>
        <w:t xml:space="preserve">aceste două consultații anuale sunt decontate indiferent de nivelul de risc rezultat în urma completării riscogramei. </w:t>
      </w:r>
    </w:p>
    <w:p w14:paraId="312C73CB" w14:textId="77777777" w:rsidR="00211700" w:rsidRPr="00BC758C" w:rsidRDefault="001C4504" w:rsidP="00211700">
      <w:pPr>
        <w:spacing w:after="0"/>
        <w:jc w:val="both"/>
        <w:rPr>
          <w:rFonts w:ascii="Times New Roman" w:hAnsi="Times New Roman" w:cs="Times New Roman"/>
        </w:rPr>
      </w:pPr>
      <w:r w:rsidRPr="00BC758C">
        <w:rPr>
          <w:rFonts w:ascii="Times New Roman" w:hAnsi="Times New Roman" w:cs="Times New Roman"/>
        </w:rPr>
        <w:t xml:space="preserve">În urma consultațiilor preventive și a rezultatelor riscogramei, asigurații asimptomatici cu vârsta peste 18 ani pot beneficia anual (în cazul depistării unui risc înalt pentru o anumită boală) sau odată la 3 ani (în cazul persoanelor asimptomatice și fără risc înalt) de investigații paraclinice – analize de laborator, în funcție de grupa de vârstă și factorii de risc identificați. </w:t>
      </w:r>
    </w:p>
    <w:p w14:paraId="1162F55C" w14:textId="77777777" w:rsidR="005C4C23" w:rsidRPr="00BC758C" w:rsidRDefault="001C4504" w:rsidP="00211700">
      <w:pPr>
        <w:spacing w:after="0"/>
        <w:jc w:val="both"/>
        <w:rPr>
          <w:rFonts w:ascii="Times New Roman" w:hAnsi="Times New Roman" w:cs="Times New Roman"/>
        </w:rPr>
      </w:pPr>
      <w:r w:rsidRPr="00BC758C">
        <w:rPr>
          <w:rFonts w:ascii="Times New Roman" w:hAnsi="Times New Roman" w:cs="Times New Roman"/>
        </w:rPr>
        <w:lastRenderedPageBreak/>
        <w:t>Alte tipuri de servicii preventive</w:t>
      </w:r>
      <w:r w:rsidR="005C4C23" w:rsidRPr="00BC758C">
        <w:rPr>
          <w:rFonts w:ascii="Times New Roman" w:hAnsi="Times New Roman" w:cs="Times New Roman"/>
        </w:rPr>
        <w:t xml:space="preserve"> oferite</w:t>
      </w:r>
      <w:r w:rsidRPr="00BC758C">
        <w:rPr>
          <w:rFonts w:ascii="Times New Roman" w:hAnsi="Times New Roman" w:cs="Times New Roman"/>
        </w:rPr>
        <w:t xml:space="preserve"> sunt cele de planificare familială,</w:t>
      </w:r>
      <w:r w:rsidR="005C4C23" w:rsidRPr="00BC758C">
        <w:rPr>
          <w:rFonts w:ascii="Times New Roman" w:hAnsi="Times New Roman" w:cs="Times New Roman"/>
        </w:rPr>
        <w:t xml:space="preserve"> consultațiile la domiciliu, </w:t>
      </w:r>
      <w:r w:rsidRPr="00BC758C">
        <w:rPr>
          <w:rFonts w:ascii="Times New Roman" w:hAnsi="Times New Roman" w:cs="Times New Roman"/>
        </w:rPr>
        <w:t>servicii medicale adiționale</w:t>
      </w:r>
      <w:r w:rsidR="005C4C23" w:rsidRPr="00BC758C">
        <w:rPr>
          <w:rFonts w:ascii="Times New Roman" w:hAnsi="Times New Roman" w:cs="Times New Roman"/>
        </w:rPr>
        <w:t xml:space="preserve"> </w:t>
      </w:r>
      <w:r w:rsidRPr="00BC758C">
        <w:rPr>
          <w:rFonts w:ascii="Times New Roman" w:hAnsi="Times New Roman" w:cs="Times New Roman"/>
        </w:rPr>
        <w:t>(</w:t>
      </w:r>
      <w:r w:rsidR="005C4C23" w:rsidRPr="00BC758C">
        <w:rPr>
          <w:rFonts w:ascii="Times New Roman" w:hAnsi="Times New Roman" w:cs="Times New Roman"/>
        </w:rPr>
        <w:t xml:space="preserve">de exemplu ecografie generală, </w:t>
      </w:r>
      <w:r w:rsidRPr="00BC758C">
        <w:rPr>
          <w:rFonts w:ascii="Times New Roman" w:hAnsi="Times New Roman" w:cs="Times New Roman"/>
        </w:rPr>
        <w:t>în cabinetele de medicină de familie</w:t>
      </w:r>
      <w:r w:rsidR="005C4C23" w:rsidRPr="00BC758C">
        <w:rPr>
          <w:rFonts w:ascii="Times New Roman" w:hAnsi="Times New Roman" w:cs="Times New Roman"/>
        </w:rPr>
        <w:t xml:space="preserve"> care au dotarea corespunzătoare</w:t>
      </w:r>
      <w:r w:rsidRPr="00BC758C">
        <w:rPr>
          <w:rFonts w:ascii="Times New Roman" w:hAnsi="Times New Roman" w:cs="Times New Roman"/>
        </w:rPr>
        <w:t>)</w:t>
      </w:r>
      <w:r w:rsidR="005C4C23" w:rsidRPr="00BC758C">
        <w:rPr>
          <w:rFonts w:ascii="Times New Roman" w:hAnsi="Times New Roman" w:cs="Times New Roman"/>
        </w:rPr>
        <w:t xml:space="preserve"> și activitățile de suport, respectiv eliberarea de documente medicale (de exemplu concediu medical, bilete de trimitere sau adeverințe medicale pentru înscrierea în comunitate). </w:t>
      </w:r>
    </w:p>
    <w:p w14:paraId="1C6B9042" w14:textId="77777777" w:rsidR="005C4C23" w:rsidRPr="00BC758C" w:rsidRDefault="005C4C23" w:rsidP="00211700">
      <w:pPr>
        <w:spacing w:after="0"/>
        <w:jc w:val="both"/>
        <w:rPr>
          <w:rFonts w:ascii="Times New Roman" w:hAnsi="Times New Roman" w:cs="Times New Roman"/>
        </w:rPr>
      </w:pPr>
      <w:r w:rsidRPr="00BC758C">
        <w:rPr>
          <w:rFonts w:ascii="Times New Roman" w:hAnsi="Times New Roman" w:cs="Times New Roman"/>
        </w:rPr>
        <w:t xml:space="preserve">Pentru o descriere detaliată a tuturor acestor servicii, puteți consulta </w:t>
      </w:r>
      <w:r w:rsidRPr="00BC758C">
        <w:rPr>
          <w:rFonts w:ascii="Times New Roman" w:hAnsi="Times New Roman" w:cs="Times New Roman"/>
          <w:b/>
        </w:rPr>
        <w:t xml:space="preserve">Ordinul nr. 397/836/2018 </w:t>
      </w:r>
      <w:r w:rsidRPr="00BC758C">
        <w:rPr>
          <w:rFonts w:ascii="Times New Roman" w:hAnsi="Times New Roman" w:cs="Times New Roman"/>
        </w:rPr>
        <w:t xml:space="preserve"> precum și </w:t>
      </w:r>
      <w:r w:rsidRPr="00BC758C">
        <w:rPr>
          <w:rFonts w:ascii="Times New Roman" w:hAnsi="Times New Roman" w:cs="Times New Roman"/>
          <w:b/>
        </w:rPr>
        <w:t xml:space="preserve">Anexa </w:t>
      </w:r>
      <w:r w:rsidR="001904A7" w:rsidRPr="00BC758C">
        <w:rPr>
          <w:rFonts w:ascii="Times New Roman" w:hAnsi="Times New Roman" w:cs="Times New Roman"/>
          <w:b/>
        </w:rPr>
        <w:t xml:space="preserve">Nr. </w:t>
      </w:r>
      <w:r w:rsidRPr="00BC758C">
        <w:rPr>
          <w:rFonts w:ascii="Times New Roman" w:hAnsi="Times New Roman" w:cs="Times New Roman"/>
          <w:b/>
        </w:rPr>
        <w:t>2B</w:t>
      </w:r>
      <w:r w:rsidRPr="00BC758C">
        <w:rPr>
          <w:rFonts w:ascii="Times New Roman" w:hAnsi="Times New Roman" w:cs="Times New Roman"/>
        </w:rPr>
        <w:t xml:space="preserve"> la acest ordin</w:t>
      </w:r>
      <w:r w:rsidR="00E80F71">
        <w:rPr>
          <w:rFonts w:ascii="Times New Roman" w:hAnsi="Times New Roman" w:cs="Times New Roman"/>
        </w:rPr>
        <w:t>, Anexa 1 a acestui document</w:t>
      </w:r>
      <w:r w:rsidRPr="00BC758C">
        <w:rPr>
          <w:rFonts w:ascii="Times New Roman" w:hAnsi="Times New Roman" w:cs="Times New Roman"/>
        </w:rPr>
        <w:t>.</w:t>
      </w:r>
    </w:p>
    <w:p w14:paraId="6589F28A" w14:textId="77777777" w:rsidR="001C4504" w:rsidRPr="005C4C23" w:rsidRDefault="005C4C23" w:rsidP="002117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82A8BAB" w14:textId="77777777" w:rsidR="00211700" w:rsidRPr="00211700" w:rsidRDefault="00211700" w:rsidP="00B42B94">
      <w:pPr>
        <w:pStyle w:val="ListParagraph"/>
        <w:numPr>
          <w:ilvl w:val="0"/>
          <w:numId w:val="41"/>
        </w:numPr>
        <w:spacing w:after="0"/>
        <w:jc w:val="both"/>
        <w:rPr>
          <w:rFonts w:ascii="Times New Roman" w:hAnsi="Times New Roman" w:cs="Times New Roman"/>
          <w:b/>
          <w:sz w:val="24"/>
          <w:szCs w:val="24"/>
        </w:rPr>
      </w:pPr>
      <w:r w:rsidRPr="00211700">
        <w:rPr>
          <w:rFonts w:ascii="Times New Roman" w:hAnsi="Times New Roman" w:cs="Times New Roman"/>
          <w:b/>
          <w:sz w:val="24"/>
          <w:szCs w:val="24"/>
        </w:rPr>
        <w:t>Ordinul nr. 377/2017 – Normele tehnice de realizare a programelor naționale de sănătate</w:t>
      </w:r>
    </w:p>
    <w:p w14:paraId="133D22C6" w14:textId="77777777" w:rsidR="009C0D9C" w:rsidRPr="00BC758C" w:rsidRDefault="00763A49" w:rsidP="0013353F">
      <w:pPr>
        <w:spacing w:after="0"/>
        <w:jc w:val="both"/>
        <w:rPr>
          <w:rFonts w:ascii="Times New Roman" w:hAnsi="Times New Roman" w:cs="Times New Roman"/>
        </w:rPr>
      </w:pPr>
      <w:r>
        <w:rPr>
          <w:rFonts w:ascii="Times New Roman" w:hAnsi="Times New Roman" w:cs="Times New Roman"/>
        </w:rPr>
        <w:t>În prevederile</w:t>
      </w:r>
      <w:r w:rsidR="00211700" w:rsidRPr="00BC758C">
        <w:rPr>
          <w:rFonts w:ascii="Times New Roman" w:hAnsi="Times New Roman" w:cs="Times New Roman"/>
        </w:rPr>
        <w:t xml:space="preserve"> acestui ordin</w:t>
      </w:r>
      <w:r w:rsidR="00BC758C">
        <w:rPr>
          <w:rStyle w:val="FootnoteReference"/>
          <w:rFonts w:ascii="Times New Roman" w:hAnsi="Times New Roman" w:cs="Times New Roman"/>
        </w:rPr>
        <w:footnoteReference w:id="27"/>
      </w:r>
      <w:r w:rsidR="00211700" w:rsidRPr="00BC758C">
        <w:rPr>
          <w:rFonts w:ascii="Times New Roman" w:hAnsi="Times New Roman" w:cs="Times New Roman"/>
        </w:rPr>
        <w:t>, servicii</w:t>
      </w:r>
      <w:r w:rsidR="009C0D9C" w:rsidRPr="00BC758C">
        <w:rPr>
          <w:rFonts w:ascii="Times New Roman" w:hAnsi="Times New Roman" w:cs="Times New Roman"/>
        </w:rPr>
        <w:t>le prevenive sunt incluse în cadrul diferitelor programe naționale, precum:</w:t>
      </w:r>
    </w:p>
    <w:p w14:paraId="5F8952E2" w14:textId="77777777" w:rsidR="0013353F" w:rsidRPr="00BC758C" w:rsidRDefault="009C0D9C" w:rsidP="009C0D9C">
      <w:pPr>
        <w:pStyle w:val="ListParagraph"/>
        <w:numPr>
          <w:ilvl w:val="0"/>
          <w:numId w:val="43"/>
        </w:numPr>
        <w:spacing w:after="0"/>
        <w:jc w:val="both"/>
        <w:rPr>
          <w:rFonts w:ascii="Times New Roman" w:hAnsi="Times New Roman" w:cs="Times New Roman"/>
        </w:rPr>
      </w:pPr>
      <w:r w:rsidRPr="00BC758C">
        <w:rPr>
          <w:rFonts w:ascii="Times New Roman" w:hAnsi="Times New Roman" w:cs="Times New Roman"/>
        </w:rPr>
        <w:t>Programele naționale de boli transmisibile: programul național de vaccinare, componenta preventivă din programele națioanle pentru adresarea tuberculozei și a HIV/SIDA</w:t>
      </w:r>
    </w:p>
    <w:p w14:paraId="323D8371" w14:textId="77777777" w:rsidR="009C0D9C" w:rsidRPr="00BC758C" w:rsidRDefault="009C0D9C" w:rsidP="009C0D9C">
      <w:pPr>
        <w:pStyle w:val="ListParagraph"/>
        <w:numPr>
          <w:ilvl w:val="0"/>
          <w:numId w:val="43"/>
        </w:numPr>
        <w:spacing w:after="0"/>
        <w:jc w:val="both"/>
        <w:rPr>
          <w:rFonts w:ascii="Times New Roman" w:hAnsi="Times New Roman" w:cs="Times New Roman"/>
        </w:rPr>
      </w:pPr>
      <w:r w:rsidRPr="00BC758C">
        <w:rPr>
          <w:rFonts w:ascii="Times New Roman" w:hAnsi="Times New Roman" w:cs="Times New Roman"/>
        </w:rPr>
        <w:t>Programele naționale de boli netransmisibile: programele de screening pentru cancer de col uterin, colorectal, cancer de sân; programul național de sănătate mintală</w:t>
      </w:r>
      <w:r w:rsidR="00873B45" w:rsidRPr="00BC758C">
        <w:rPr>
          <w:rFonts w:ascii="Times New Roman" w:hAnsi="Times New Roman" w:cs="Times New Roman"/>
        </w:rPr>
        <w:t xml:space="preserve"> și profilaxie în patologia psihiatrică</w:t>
      </w:r>
    </w:p>
    <w:p w14:paraId="7CE849A2" w14:textId="77777777" w:rsidR="00873B45" w:rsidRPr="00BC758C" w:rsidRDefault="00873B45" w:rsidP="009C0D9C">
      <w:pPr>
        <w:pStyle w:val="ListParagraph"/>
        <w:numPr>
          <w:ilvl w:val="0"/>
          <w:numId w:val="43"/>
        </w:numPr>
        <w:spacing w:after="0"/>
        <w:jc w:val="both"/>
        <w:rPr>
          <w:rFonts w:ascii="Times New Roman" w:hAnsi="Times New Roman" w:cs="Times New Roman"/>
        </w:rPr>
      </w:pPr>
      <w:r w:rsidRPr="00BC758C">
        <w:rPr>
          <w:rFonts w:ascii="Times New Roman" w:hAnsi="Times New Roman" w:cs="Times New Roman"/>
        </w:rPr>
        <w:t xml:space="preserve">Programul național de evaluare și promovare a sănătății și educație pentru sănătate: subprogramele evaluarea și promovarea sănătății și educație pentru sănătate și subprogramul de prevenție și combatere a consumului de tutunș </w:t>
      </w:r>
    </w:p>
    <w:p w14:paraId="765DC5E8" w14:textId="77777777" w:rsidR="00873B45" w:rsidRPr="00BC758C" w:rsidRDefault="00873B45" w:rsidP="009C0D9C">
      <w:pPr>
        <w:pStyle w:val="ListParagraph"/>
        <w:numPr>
          <w:ilvl w:val="0"/>
          <w:numId w:val="43"/>
        </w:numPr>
        <w:spacing w:after="0"/>
        <w:jc w:val="both"/>
        <w:rPr>
          <w:rFonts w:ascii="Times New Roman" w:hAnsi="Times New Roman" w:cs="Times New Roman"/>
        </w:rPr>
      </w:pPr>
      <w:r w:rsidRPr="00BC758C">
        <w:rPr>
          <w:rFonts w:ascii="Times New Roman" w:hAnsi="Times New Roman" w:cs="Times New Roman"/>
        </w:rPr>
        <w:t xml:space="preserve">Programul național de sănătate a femeii și copilului: subprogramul de nutriție și sănătate a copilului și subprogramul de sănătate a femeii. </w:t>
      </w:r>
    </w:p>
    <w:p w14:paraId="067E5171" w14:textId="77777777" w:rsidR="00873B45" w:rsidRPr="00BC758C" w:rsidRDefault="00873B45" w:rsidP="00873B45">
      <w:pPr>
        <w:spacing w:after="0"/>
        <w:jc w:val="both"/>
        <w:rPr>
          <w:rFonts w:ascii="Times New Roman" w:hAnsi="Times New Roman" w:cs="Times New Roman"/>
        </w:rPr>
      </w:pPr>
      <w:r w:rsidRPr="00BC758C">
        <w:rPr>
          <w:rFonts w:ascii="Times New Roman" w:hAnsi="Times New Roman" w:cs="Times New Roman"/>
        </w:rPr>
        <w:t xml:space="preserve">Pentru o descriere detaliată a prevederilor acestor programe, puteți consulta </w:t>
      </w:r>
      <w:hyperlink r:id="rId25" w:history="1">
        <w:r w:rsidRPr="00BC758C">
          <w:rPr>
            <w:rStyle w:val="Hyperlink"/>
            <w:rFonts w:ascii="Times New Roman" w:hAnsi="Times New Roman" w:cs="Times New Roman"/>
            <w:b/>
          </w:rPr>
          <w:t>Ordinul nr. 377/2017</w:t>
        </w:r>
      </w:hyperlink>
      <w:r w:rsidR="00BC758C" w:rsidRPr="00BC758C">
        <w:rPr>
          <w:rFonts w:ascii="Times New Roman" w:hAnsi="Times New Roman" w:cs="Times New Roman"/>
          <w:vertAlign w:val="superscript"/>
        </w:rPr>
        <w:t>28</w:t>
      </w:r>
      <w:r w:rsidRPr="00BC758C">
        <w:rPr>
          <w:rFonts w:ascii="Times New Roman" w:hAnsi="Times New Roman" w:cs="Times New Roman"/>
          <w:b/>
        </w:rPr>
        <w:t xml:space="preserve">. </w:t>
      </w:r>
    </w:p>
    <w:p w14:paraId="37070EC7" w14:textId="77777777" w:rsidR="00D41B03" w:rsidRDefault="00D41B03" w:rsidP="000F1494">
      <w:pPr>
        <w:spacing w:after="0"/>
        <w:jc w:val="both"/>
        <w:rPr>
          <w:rFonts w:ascii="Times New Roman" w:hAnsi="Times New Roman" w:cs="Times New Roman"/>
          <w:b/>
          <w:sz w:val="24"/>
          <w:szCs w:val="24"/>
        </w:rPr>
      </w:pPr>
    </w:p>
    <w:p w14:paraId="24CEC103" w14:textId="77777777" w:rsidR="006841E1" w:rsidRDefault="00D83482" w:rsidP="00D83482">
      <w:pPr>
        <w:pStyle w:val="ListParagraph"/>
        <w:numPr>
          <w:ilvl w:val="0"/>
          <w:numId w:val="4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Ghidurile de prevenție elaborate în cadrul proiectului </w:t>
      </w:r>
      <w:r w:rsidRPr="00D83482">
        <w:rPr>
          <w:rFonts w:ascii="Times New Roman" w:hAnsi="Times New Roman" w:cs="Times New Roman"/>
          <w:b/>
          <w:sz w:val="24"/>
          <w:szCs w:val="24"/>
        </w:rPr>
        <w:t>RO19.04 “Intervenții la  mai multe niveluri pentru prevenția bolilor netransmisibile (BNT) asociate stilului de viață în România”</w:t>
      </w:r>
    </w:p>
    <w:p w14:paraId="2ACF45F7" w14:textId="77777777" w:rsidR="00D83482" w:rsidRPr="00BC758C" w:rsidRDefault="00D83482" w:rsidP="00D83482">
      <w:pPr>
        <w:spacing w:after="0"/>
        <w:jc w:val="both"/>
        <w:rPr>
          <w:rFonts w:ascii="Times New Roman" w:hAnsi="Times New Roman" w:cs="Times New Roman"/>
        </w:rPr>
      </w:pPr>
      <w:r w:rsidRPr="00BC758C">
        <w:rPr>
          <w:rFonts w:ascii="Times New Roman" w:hAnsi="Times New Roman" w:cs="Times New Roman"/>
        </w:rPr>
        <w:t xml:space="preserve">Cele 4 ghiduri de prevenție elaborate în cadrul proiectului menționat adresează următoarele aspecte: alimentația și activitatea fizică (Ghid 1), consumul de alcool și fumatul (Ghid 2), intervențiile preventive integrate adresate riscurilor prioritare de boli netransmisibile în medicina de familie (Ghid 3) și consultația preventivă integrată la copil și adult (Ghid 4). </w:t>
      </w:r>
      <w:r w:rsidR="00170F5D" w:rsidRPr="00BC758C">
        <w:rPr>
          <w:rFonts w:ascii="Times New Roman" w:hAnsi="Times New Roman" w:cs="Times New Roman"/>
        </w:rPr>
        <w:t>Aceste instrumente pot fi</w:t>
      </w:r>
      <w:r w:rsidRPr="00BC758C">
        <w:rPr>
          <w:rFonts w:ascii="Times New Roman" w:hAnsi="Times New Roman" w:cs="Times New Roman"/>
        </w:rPr>
        <w:t xml:space="preserve"> utilizate de medici în practica preventivă curentă pentru evaluarea ris</w:t>
      </w:r>
      <w:r w:rsidR="00170F5D" w:rsidRPr="00BC758C">
        <w:rPr>
          <w:rFonts w:ascii="Times New Roman" w:hAnsi="Times New Roman" w:cs="Times New Roman"/>
        </w:rPr>
        <w:t>curilor, respectiv pot constitui instrumente</w:t>
      </w:r>
      <w:r w:rsidRPr="00BC758C">
        <w:rPr>
          <w:rFonts w:ascii="Times New Roman" w:hAnsi="Times New Roman" w:cs="Times New Roman"/>
        </w:rPr>
        <w:t xml:space="preserve"> de suport pentru comunicarea riscurilor și furnizarea serviciilor de consiliere</w:t>
      </w:r>
      <w:r w:rsidR="00170F5D" w:rsidRPr="00BC758C">
        <w:rPr>
          <w:rFonts w:ascii="Times New Roman" w:hAnsi="Times New Roman" w:cs="Times New Roman"/>
        </w:rPr>
        <w:t xml:space="preserve"> în rândul pacienților. Cele 4 ghiduri prezentate anterior precum și alte instrumente de sprijin (de exemplu modulul IT Prevent) pentru medicii de familie în procesul de acordare a consultației preventive în medicina primară, pot fi consultate acesând: </w:t>
      </w:r>
      <w:hyperlink r:id="rId26" w:history="1">
        <w:r w:rsidR="00170F5D" w:rsidRPr="00BC758C">
          <w:rPr>
            <w:rStyle w:val="Hyperlink"/>
            <w:rFonts w:ascii="Times New Roman" w:hAnsi="Times New Roman" w:cs="Times New Roman"/>
          </w:rPr>
          <w:t>http://insp.gov.ro/sites/1/rezultate/</w:t>
        </w:r>
      </w:hyperlink>
      <w:r w:rsidR="00170F5D" w:rsidRPr="00BC758C">
        <w:rPr>
          <w:rFonts w:ascii="Times New Roman" w:hAnsi="Times New Roman" w:cs="Times New Roman"/>
        </w:rPr>
        <w:t xml:space="preserve">.  </w:t>
      </w:r>
    </w:p>
    <w:p w14:paraId="6CBBDF35" w14:textId="77777777" w:rsidR="00D83482" w:rsidRPr="00D83482" w:rsidRDefault="00D83482" w:rsidP="00D83482">
      <w:pPr>
        <w:spacing w:after="0"/>
        <w:jc w:val="both"/>
        <w:rPr>
          <w:rFonts w:ascii="Times New Roman" w:hAnsi="Times New Roman" w:cs="Times New Roman"/>
          <w:b/>
          <w:sz w:val="24"/>
          <w:szCs w:val="24"/>
        </w:rPr>
      </w:pPr>
    </w:p>
    <w:p w14:paraId="7E6EE338" w14:textId="77777777" w:rsidR="00D41B03" w:rsidRPr="00FE5C66" w:rsidRDefault="007B4066" w:rsidP="0057327C">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Slogan și g</w:t>
      </w:r>
      <w:r w:rsidR="003F00BB">
        <w:rPr>
          <w:rFonts w:ascii="Times New Roman" w:hAnsi="Times New Roman" w:cs="Times New Roman"/>
          <w:b/>
          <w:sz w:val="24"/>
          <w:szCs w:val="24"/>
        </w:rPr>
        <w:t xml:space="preserve">rupri țintă ZMS 2019. </w:t>
      </w:r>
      <w:r w:rsidR="001A029B">
        <w:rPr>
          <w:rFonts w:ascii="Times New Roman" w:hAnsi="Times New Roman" w:cs="Times New Roman"/>
          <w:b/>
          <w:sz w:val="24"/>
          <w:szCs w:val="24"/>
        </w:rPr>
        <w:t>Importanța in</w:t>
      </w:r>
      <w:r w:rsidR="00D41B03" w:rsidRPr="00FE5C66">
        <w:rPr>
          <w:rFonts w:ascii="Times New Roman" w:hAnsi="Times New Roman" w:cs="Times New Roman"/>
          <w:b/>
          <w:sz w:val="24"/>
          <w:szCs w:val="24"/>
        </w:rPr>
        <w:t>form</w:t>
      </w:r>
      <w:r w:rsidR="001A029B">
        <w:rPr>
          <w:rFonts w:ascii="Times New Roman" w:hAnsi="Times New Roman" w:cs="Times New Roman"/>
          <w:b/>
          <w:sz w:val="24"/>
          <w:szCs w:val="24"/>
        </w:rPr>
        <w:t>ării</w:t>
      </w:r>
      <w:r w:rsidR="00D41B03" w:rsidRPr="00FE5C66">
        <w:rPr>
          <w:rFonts w:ascii="Times New Roman" w:hAnsi="Times New Roman" w:cs="Times New Roman"/>
          <w:b/>
          <w:sz w:val="24"/>
          <w:szCs w:val="24"/>
        </w:rPr>
        <w:t xml:space="preserve"> și </w:t>
      </w:r>
      <w:r w:rsidR="001A029B">
        <w:rPr>
          <w:rFonts w:ascii="Times New Roman" w:hAnsi="Times New Roman" w:cs="Times New Roman"/>
          <w:b/>
          <w:sz w:val="24"/>
          <w:szCs w:val="24"/>
        </w:rPr>
        <w:t xml:space="preserve">a </w:t>
      </w:r>
      <w:r w:rsidR="00C1492C">
        <w:rPr>
          <w:rFonts w:ascii="Times New Roman" w:hAnsi="Times New Roman" w:cs="Times New Roman"/>
          <w:b/>
          <w:sz w:val="24"/>
          <w:szCs w:val="24"/>
        </w:rPr>
        <w:t>c</w:t>
      </w:r>
      <w:r w:rsidR="001A029B">
        <w:rPr>
          <w:rFonts w:ascii="Times New Roman" w:hAnsi="Times New Roman" w:cs="Times New Roman"/>
          <w:b/>
          <w:sz w:val="24"/>
          <w:szCs w:val="24"/>
        </w:rPr>
        <w:t>reșterii</w:t>
      </w:r>
      <w:r w:rsidR="00C1492C">
        <w:rPr>
          <w:rFonts w:ascii="Times New Roman" w:hAnsi="Times New Roman" w:cs="Times New Roman"/>
          <w:b/>
          <w:sz w:val="24"/>
          <w:szCs w:val="24"/>
        </w:rPr>
        <w:t xml:space="preserve"> nivelul de </w:t>
      </w:r>
      <w:r w:rsidR="00D41B03" w:rsidRPr="00FE5C66">
        <w:rPr>
          <w:rFonts w:ascii="Times New Roman" w:hAnsi="Times New Roman" w:cs="Times New Roman"/>
          <w:b/>
          <w:sz w:val="24"/>
          <w:szCs w:val="24"/>
        </w:rPr>
        <w:t>conș</w:t>
      </w:r>
      <w:r w:rsidR="00C1492C">
        <w:rPr>
          <w:rFonts w:ascii="Times New Roman" w:hAnsi="Times New Roman" w:cs="Times New Roman"/>
          <w:b/>
          <w:sz w:val="24"/>
          <w:szCs w:val="24"/>
        </w:rPr>
        <w:t>tientizare a</w:t>
      </w:r>
      <w:r w:rsidR="00D41B03" w:rsidRPr="00FE5C66">
        <w:rPr>
          <w:rFonts w:ascii="Times New Roman" w:hAnsi="Times New Roman" w:cs="Times New Roman"/>
          <w:b/>
          <w:sz w:val="24"/>
          <w:szCs w:val="24"/>
        </w:rPr>
        <w:t xml:space="preserve"> popul</w:t>
      </w:r>
      <w:r w:rsidR="001A029B">
        <w:rPr>
          <w:rFonts w:ascii="Times New Roman" w:hAnsi="Times New Roman" w:cs="Times New Roman"/>
          <w:b/>
          <w:sz w:val="24"/>
          <w:szCs w:val="24"/>
        </w:rPr>
        <w:t xml:space="preserve">ației din România cu privire la </w:t>
      </w:r>
      <w:r w:rsidR="00D41B03" w:rsidRPr="00FE5C66">
        <w:rPr>
          <w:rFonts w:ascii="Times New Roman" w:hAnsi="Times New Roman" w:cs="Times New Roman"/>
          <w:b/>
          <w:sz w:val="24"/>
          <w:szCs w:val="24"/>
        </w:rPr>
        <w:t>acces</w:t>
      </w:r>
      <w:r w:rsidR="001A029B">
        <w:rPr>
          <w:rFonts w:ascii="Times New Roman" w:hAnsi="Times New Roman" w:cs="Times New Roman"/>
          <w:b/>
          <w:sz w:val="24"/>
          <w:szCs w:val="24"/>
        </w:rPr>
        <w:t>area</w:t>
      </w:r>
      <w:r w:rsidR="00D41B03" w:rsidRPr="00FE5C66">
        <w:rPr>
          <w:rFonts w:ascii="Times New Roman" w:hAnsi="Times New Roman" w:cs="Times New Roman"/>
          <w:b/>
          <w:sz w:val="24"/>
          <w:szCs w:val="24"/>
        </w:rPr>
        <w:t xml:space="preserve"> serviciilor de sănătate preventive </w:t>
      </w:r>
    </w:p>
    <w:p w14:paraId="7F0FDBFE" w14:textId="77777777" w:rsidR="003F00BB" w:rsidRPr="00BC758C" w:rsidRDefault="007B4066" w:rsidP="004349E2">
      <w:pPr>
        <w:pStyle w:val="ListParagraph"/>
        <w:spacing w:after="0"/>
        <w:ind w:left="0"/>
        <w:jc w:val="both"/>
        <w:rPr>
          <w:rFonts w:ascii="Times New Roman" w:hAnsi="Times New Roman" w:cs="Times New Roman"/>
        </w:rPr>
      </w:pPr>
      <w:r w:rsidRPr="00BC758C">
        <w:rPr>
          <w:rFonts w:ascii="Times New Roman" w:hAnsi="Times New Roman" w:cs="Times New Roman"/>
        </w:rPr>
        <w:t>Sloganul</w:t>
      </w:r>
      <w:r w:rsidR="003F00BB" w:rsidRPr="00BC758C">
        <w:rPr>
          <w:rFonts w:ascii="Times New Roman" w:hAnsi="Times New Roman" w:cs="Times New Roman"/>
        </w:rPr>
        <w:t xml:space="preserve"> </w:t>
      </w:r>
      <w:r w:rsidR="003F00BB" w:rsidRPr="00BC758C">
        <w:rPr>
          <w:rFonts w:ascii="Times New Roman" w:hAnsi="Times New Roman" w:cs="Times New Roman"/>
          <w:b/>
        </w:rPr>
        <w:t>campaniei de celebrare a Zilei Mondiale a Sănătății 2019</w:t>
      </w:r>
      <w:r w:rsidRPr="00BC758C">
        <w:rPr>
          <w:rFonts w:ascii="Times New Roman" w:hAnsi="Times New Roman" w:cs="Times New Roman"/>
          <w:b/>
        </w:rPr>
        <w:t xml:space="preserve"> </w:t>
      </w:r>
      <w:r w:rsidRPr="00BC758C">
        <w:rPr>
          <w:rFonts w:ascii="Times New Roman" w:hAnsi="Times New Roman" w:cs="Times New Roman"/>
        </w:rPr>
        <w:t>în România este : ”</w:t>
      </w:r>
      <w:r w:rsidRPr="00BC758C">
        <w:rPr>
          <w:rFonts w:ascii="Times New Roman" w:hAnsi="Times New Roman" w:cs="Times New Roman"/>
          <w:b/>
          <w:i/>
        </w:rPr>
        <w:t>Prin prevenție, sănătate pentru toți!</w:t>
      </w:r>
      <w:r w:rsidRPr="00BC758C">
        <w:rPr>
          <w:rFonts w:ascii="Times New Roman" w:hAnsi="Times New Roman" w:cs="Times New Roman"/>
        </w:rPr>
        <w:t>”. În cadrul campaniei</w:t>
      </w:r>
      <w:r w:rsidR="003F00BB" w:rsidRPr="00BC758C">
        <w:rPr>
          <w:rFonts w:ascii="Times New Roman" w:hAnsi="Times New Roman" w:cs="Times New Roman"/>
        </w:rPr>
        <w:t xml:space="preserve"> ne adresăm în principal profesioniștilor din</w:t>
      </w:r>
      <w:bookmarkStart w:id="0" w:name="_GoBack"/>
      <w:bookmarkEnd w:id="0"/>
      <w:r w:rsidR="003F00BB" w:rsidRPr="00BC758C">
        <w:rPr>
          <w:rFonts w:ascii="Times New Roman" w:hAnsi="Times New Roman" w:cs="Times New Roman"/>
        </w:rPr>
        <w:t xml:space="preserve"> sănătate, în special celor care oferă servicii de medicină primară/prevenție (medici de familie, </w:t>
      </w:r>
      <w:r w:rsidR="00F71762" w:rsidRPr="00BC758C">
        <w:rPr>
          <w:rFonts w:ascii="Times New Roman" w:hAnsi="Times New Roman" w:cs="Times New Roman"/>
        </w:rPr>
        <w:t>asistenți medicali comunitari, mediatori sanitari, medici și asistente cu competență de medicină școlară</w:t>
      </w:r>
      <w:r w:rsidR="003F00BB" w:rsidRPr="00BC758C">
        <w:rPr>
          <w:rFonts w:ascii="Times New Roman" w:hAnsi="Times New Roman" w:cs="Times New Roman"/>
        </w:rPr>
        <w:t>)</w:t>
      </w:r>
      <w:r w:rsidRPr="00BC758C">
        <w:rPr>
          <w:rFonts w:ascii="Times New Roman" w:hAnsi="Times New Roman" w:cs="Times New Roman"/>
        </w:rPr>
        <w:t xml:space="preserve">, cu </w:t>
      </w:r>
      <w:r w:rsidRPr="00BC758C">
        <w:rPr>
          <w:rFonts w:ascii="Times New Roman" w:hAnsi="Times New Roman" w:cs="Times New Roman"/>
        </w:rPr>
        <w:lastRenderedPageBreak/>
        <w:t>mesajul: ”</w:t>
      </w:r>
      <w:r w:rsidRPr="00BC758C">
        <w:rPr>
          <w:rFonts w:ascii="Times New Roman" w:hAnsi="Times New Roman" w:cs="Times New Roman"/>
          <w:b/>
          <w:i/>
        </w:rPr>
        <w:t>Informați-vă pacienții cu privire la serviciile preventive!</w:t>
      </w:r>
      <w:r w:rsidRPr="00BC758C">
        <w:rPr>
          <w:rFonts w:ascii="Times New Roman" w:hAnsi="Times New Roman" w:cs="Times New Roman"/>
        </w:rPr>
        <w:t>” precum și populației generale, cu mesajul: ”</w:t>
      </w:r>
      <w:r w:rsidRPr="00BC758C">
        <w:rPr>
          <w:rFonts w:ascii="Times New Roman" w:hAnsi="Times New Roman" w:cs="Times New Roman"/>
          <w:b/>
          <w:i/>
        </w:rPr>
        <w:t>Întrebați-vă medicul de familie despre serviciile preventive!</w:t>
      </w:r>
      <w:r w:rsidRPr="00BC758C">
        <w:rPr>
          <w:rFonts w:ascii="Times New Roman" w:hAnsi="Times New Roman" w:cs="Times New Roman"/>
        </w:rPr>
        <w:t xml:space="preserve">”. </w:t>
      </w:r>
    </w:p>
    <w:p w14:paraId="1E779AD5" w14:textId="77777777" w:rsidR="007B4066" w:rsidRPr="00BC758C" w:rsidRDefault="008653F2" w:rsidP="004349E2">
      <w:pPr>
        <w:pStyle w:val="ListParagraph"/>
        <w:spacing w:after="0"/>
        <w:ind w:left="0"/>
        <w:jc w:val="both"/>
        <w:rPr>
          <w:rFonts w:ascii="Times New Roman" w:hAnsi="Times New Roman" w:cs="Times New Roman"/>
        </w:rPr>
      </w:pPr>
      <w:r w:rsidRPr="00BC758C">
        <w:rPr>
          <w:rFonts w:ascii="Times New Roman" w:hAnsi="Times New Roman" w:cs="Times New Roman"/>
        </w:rPr>
        <w:t>Ziua Mondială a Sănătății, precum și toate celelate zile de celebrare din calendarul Organizației Mondiale a Sănătății (de luptă împotriva consumului de tutun, alcool, a diferitelor boli precum diabetul zaharat, depresia, etc.)</w:t>
      </w:r>
      <w:r w:rsidR="00B42B94" w:rsidRPr="00BC758C">
        <w:rPr>
          <w:rFonts w:ascii="Times New Roman" w:hAnsi="Times New Roman" w:cs="Times New Roman"/>
        </w:rPr>
        <w:t>, reprezintă ocazii concrete</w:t>
      </w:r>
      <w:r w:rsidRPr="00BC758C">
        <w:rPr>
          <w:rFonts w:ascii="Times New Roman" w:hAnsi="Times New Roman" w:cs="Times New Roman"/>
        </w:rPr>
        <w:t xml:space="preserve"> pentru toți actorii interesați, din sectorul public dar și cei din societatea civilă, pentru a contribui la creșterea nivelului de informare și a conștientizării în rândul populației </w:t>
      </w:r>
      <w:r w:rsidR="007B4066" w:rsidRPr="00BC758C">
        <w:rPr>
          <w:rFonts w:ascii="Times New Roman" w:hAnsi="Times New Roman" w:cs="Times New Roman"/>
        </w:rPr>
        <w:t xml:space="preserve">generale </w:t>
      </w:r>
      <w:r w:rsidRPr="00BC758C">
        <w:rPr>
          <w:rFonts w:ascii="Times New Roman" w:hAnsi="Times New Roman" w:cs="Times New Roman"/>
        </w:rPr>
        <w:t xml:space="preserve">cu privire la </w:t>
      </w:r>
      <w:r w:rsidRPr="00BC758C">
        <w:rPr>
          <w:rFonts w:ascii="Times New Roman" w:hAnsi="Times New Roman" w:cs="Times New Roman"/>
          <w:b/>
        </w:rPr>
        <w:t>factorii de risc</w:t>
      </w:r>
      <w:r w:rsidR="007B4066" w:rsidRPr="00BC758C">
        <w:rPr>
          <w:rFonts w:ascii="Times New Roman" w:hAnsi="Times New Roman" w:cs="Times New Roman"/>
        </w:rPr>
        <w:t xml:space="preserve"> la care se expun (</w:t>
      </w:r>
      <w:r w:rsidRPr="00BC758C">
        <w:rPr>
          <w:rFonts w:ascii="Times New Roman" w:hAnsi="Times New Roman" w:cs="Times New Roman"/>
        </w:rPr>
        <w:t>prin propriile alegeri, sau sunt expuși ca urmare a interacțiunilor cu mediul, fizic, social și comunitar</w:t>
      </w:r>
      <w:r w:rsidR="007B4066" w:rsidRPr="00BC758C">
        <w:rPr>
          <w:rFonts w:ascii="Times New Roman" w:hAnsi="Times New Roman" w:cs="Times New Roman"/>
        </w:rPr>
        <w:t>)</w:t>
      </w:r>
      <w:r w:rsidRPr="00BC758C">
        <w:rPr>
          <w:rFonts w:ascii="Times New Roman" w:hAnsi="Times New Roman" w:cs="Times New Roman"/>
        </w:rPr>
        <w:t xml:space="preserve"> dar și </w:t>
      </w:r>
      <w:r w:rsidR="007B4066" w:rsidRPr="00BC758C">
        <w:rPr>
          <w:rFonts w:ascii="Times New Roman" w:hAnsi="Times New Roman" w:cs="Times New Roman"/>
        </w:rPr>
        <w:t>l</w:t>
      </w:r>
      <w:r w:rsidRPr="00BC758C">
        <w:rPr>
          <w:rFonts w:ascii="Times New Roman" w:hAnsi="Times New Roman" w:cs="Times New Roman"/>
        </w:rPr>
        <w:t xml:space="preserve">a </w:t>
      </w:r>
      <w:r w:rsidR="007B4066" w:rsidRPr="00BC758C">
        <w:rPr>
          <w:rFonts w:ascii="Times New Roman" w:hAnsi="Times New Roman" w:cs="Times New Roman"/>
          <w:b/>
        </w:rPr>
        <w:t>drepturile</w:t>
      </w:r>
      <w:r w:rsidRPr="00BC758C">
        <w:rPr>
          <w:rFonts w:ascii="Times New Roman" w:hAnsi="Times New Roman" w:cs="Times New Roman"/>
        </w:rPr>
        <w:t xml:space="preserve"> pe care le </w:t>
      </w:r>
      <w:r w:rsidR="007B4066" w:rsidRPr="00BC758C">
        <w:rPr>
          <w:rFonts w:ascii="Times New Roman" w:hAnsi="Times New Roman" w:cs="Times New Roman"/>
        </w:rPr>
        <w:t xml:space="preserve">au </w:t>
      </w:r>
      <w:r w:rsidRPr="00BC758C">
        <w:rPr>
          <w:rFonts w:ascii="Times New Roman" w:hAnsi="Times New Roman" w:cs="Times New Roman"/>
        </w:rPr>
        <w:t xml:space="preserve">în ceea ce privește protecția față de acești factori de risc și serviciile de prevenție și tratament pe care le pot accesa. </w:t>
      </w:r>
      <w:r w:rsidR="007B4066" w:rsidRPr="00BC758C">
        <w:rPr>
          <w:rFonts w:ascii="Times New Roman" w:hAnsi="Times New Roman" w:cs="Times New Roman"/>
        </w:rPr>
        <w:t xml:space="preserve">Pentru asigurarea succesului campaniilor de promovare a sănătății, sunt necesare o serie de </w:t>
      </w:r>
      <w:r w:rsidR="006829A0" w:rsidRPr="00BC758C">
        <w:rPr>
          <w:rFonts w:ascii="Times New Roman" w:hAnsi="Times New Roman" w:cs="Times New Roman"/>
        </w:rPr>
        <w:t xml:space="preserve">măsuri de asigurare a compatibilității între mesajele transmise și căile de comunicare și publicul țintă al campaniilor. Un exemplu de bună practică în acest sens este reprezentat de </w:t>
      </w:r>
      <w:r w:rsidR="006829A0" w:rsidRPr="00BC758C">
        <w:rPr>
          <w:rFonts w:ascii="Times New Roman" w:hAnsi="Times New Roman" w:cs="Times New Roman"/>
          <w:b/>
        </w:rPr>
        <w:t>Codul European împotriva Cancerului</w:t>
      </w:r>
      <w:r w:rsidR="006829A0" w:rsidRPr="00BC758C">
        <w:rPr>
          <w:rFonts w:ascii="Times New Roman" w:hAnsi="Times New Roman" w:cs="Times New Roman"/>
        </w:rPr>
        <w:t>, care își propune să prezinte pe scurt și într-un limbaj cât mai accesibil, 12 măsuri prin intermediul cărora populația poate contribui la reducerea riscului de cancer</w:t>
      </w:r>
      <w:r w:rsidR="00BC758C">
        <w:rPr>
          <w:rStyle w:val="FootnoteReference"/>
          <w:rFonts w:ascii="Times New Roman" w:hAnsi="Times New Roman" w:cs="Times New Roman"/>
        </w:rPr>
        <w:footnoteReference w:id="28"/>
      </w:r>
      <w:r w:rsidR="006829A0" w:rsidRPr="00BC758C">
        <w:rPr>
          <w:rFonts w:ascii="Times New Roman" w:hAnsi="Times New Roman" w:cs="Times New Roman"/>
        </w:rPr>
        <w:t xml:space="preserve"> (de exemplu renunțarea la fumat, adoptarea unei diete sănătoase și a activității fizice, participarea la programe de screening, etc.). </w:t>
      </w:r>
    </w:p>
    <w:p w14:paraId="3B791050" w14:textId="77777777" w:rsidR="009A53B0" w:rsidRPr="00BC758C" w:rsidRDefault="009A53B0" w:rsidP="004349E2">
      <w:pPr>
        <w:pStyle w:val="ListParagraph"/>
        <w:spacing w:after="0"/>
        <w:ind w:left="0"/>
        <w:jc w:val="both"/>
        <w:rPr>
          <w:rFonts w:ascii="Times New Roman" w:hAnsi="Times New Roman" w:cs="Times New Roman"/>
        </w:rPr>
      </w:pPr>
      <w:r w:rsidRPr="00BC758C">
        <w:rPr>
          <w:rFonts w:ascii="Times New Roman" w:hAnsi="Times New Roman" w:cs="Times New Roman"/>
        </w:rPr>
        <w:t>În cadrul campaniei naționale de celebrare a Zilei Mondiale a</w:t>
      </w:r>
      <w:r w:rsidR="00A860B9" w:rsidRPr="00BC758C">
        <w:rPr>
          <w:rFonts w:ascii="Times New Roman" w:hAnsi="Times New Roman" w:cs="Times New Roman"/>
        </w:rPr>
        <w:t xml:space="preserve"> Sănătății 2019, vom dezvolta</w:t>
      </w:r>
      <w:r w:rsidRPr="00BC758C">
        <w:rPr>
          <w:rFonts w:ascii="Times New Roman" w:hAnsi="Times New Roman" w:cs="Times New Roman"/>
        </w:rPr>
        <w:t xml:space="preserve"> </w:t>
      </w:r>
      <w:r w:rsidRPr="00BC758C">
        <w:rPr>
          <w:rFonts w:ascii="Times New Roman" w:hAnsi="Times New Roman" w:cs="Times New Roman"/>
          <w:b/>
        </w:rPr>
        <w:t>pliante</w:t>
      </w:r>
      <w:r w:rsidR="00A860B9" w:rsidRPr="00BC758C">
        <w:rPr>
          <w:rFonts w:ascii="Times New Roman" w:hAnsi="Times New Roman" w:cs="Times New Roman"/>
          <w:b/>
        </w:rPr>
        <w:t xml:space="preserve"> și </w:t>
      </w:r>
      <w:r w:rsidRPr="00BC758C">
        <w:rPr>
          <w:rFonts w:ascii="Times New Roman" w:hAnsi="Times New Roman" w:cs="Times New Roman"/>
          <w:b/>
        </w:rPr>
        <w:t>postere</w:t>
      </w:r>
      <w:r w:rsidR="00A860B9" w:rsidRPr="00BC758C">
        <w:rPr>
          <w:rFonts w:ascii="Times New Roman" w:hAnsi="Times New Roman" w:cs="Times New Roman"/>
        </w:rPr>
        <w:t xml:space="preserve"> </w:t>
      </w:r>
      <w:r w:rsidRPr="00BC758C">
        <w:rPr>
          <w:rFonts w:ascii="Times New Roman" w:hAnsi="Times New Roman" w:cs="Times New Roman"/>
        </w:rPr>
        <w:t xml:space="preserve"> adresat</w:t>
      </w:r>
      <w:r w:rsidR="00A860B9" w:rsidRPr="00BC758C">
        <w:rPr>
          <w:rFonts w:ascii="Times New Roman" w:hAnsi="Times New Roman" w:cs="Times New Roman"/>
        </w:rPr>
        <w:t>e</w:t>
      </w:r>
      <w:r w:rsidRPr="00BC758C">
        <w:rPr>
          <w:rFonts w:ascii="Times New Roman" w:hAnsi="Times New Roman" w:cs="Times New Roman"/>
        </w:rPr>
        <w:t xml:space="preserve"> fiecăreia dintre cele două grupuri țintă menționate anterior, precum și un </w:t>
      </w:r>
      <w:r w:rsidRPr="00BC758C">
        <w:rPr>
          <w:rFonts w:ascii="Times New Roman" w:hAnsi="Times New Roman" w:cs="Times New Roman"/>
          <w:b/>
        </w:rPr>
        <w:t>infografic</w:t>
      </w:r>
      <w:r w:rsidRPr="00BC758C">
        <w:rPr>
          <w:rFonts w:ascii="Times New Roman" w:hAnsi="Times New Roman" w:cs="Times New Roman"/>
        </w:rPr>
        <w:t xml:space="preserve"> adresat profesioniștilor din domeniul medical (în special din medicina primară) și factorilor de decizie</w:t>
      </w:r>
      <w:r w:rsidR="0030193A" w:rsidRPr="00BC758C">
        <w:rPr>
          <w:rFonts w:ascii="Times New Roman" w:hAnsi="Times New Roman" w:cs="Times New Roman"/>
        </w:rPr>
        <w:t>.</w:t>
      </w:r>
    </w:p>
    <w:p w14:paraId="2E73A64E" w14:textId="77777777" w:rsidR="004349E2" w:rsidRPr="008653F2" w:rsidRDefault="004349E2" w:rsidP="008653F2">
      <w:pPr>
        <w:spacing w:after="0"/>
        <w:jc w:val="both"/>
        <w:rPr>
          <w:rFonts w:ascii="Times New Roman" w:hAnsi="Times New Roman" w:cs="Times New Roman"/>
          <w:sz w:val="24"/>
          <w:szCs w:val="24"/>
        </w:rPr>
      </w:pPr>
    </w:p>
    <w:p w14:paraId="25BFBEA0" w14:textId="77777777" w:rsidR="00483EEF" w:rsidRDefault="003E6058" w:rsidP="0057327C">
      <w:pPr>
        <w:pStyle w:val="ListParagraph"/>
        <w:numPr>
          <w:ilvl w:val="0"/>
          <w:numId w:val="3"/>
        </w:numPr>
        <w:spacing w:after="0"/>
        <w:jc w:val="both"/>
        <w:rPr>
          <w:rFonts w:ascii="Times New Roman" w:hAnsi="Times New Roman" w:cs="Times New Roman"/>
          <w:b/>
          <w:sz w:val="24"/>
          <w:szCs w:val="24"/>
        </w:rPr>
      </w:pPr>
      <w:r w:rsidRPr="00FE5C66">
        <w:rPr>
          <w:rFonts w:ascii="Times New Roman" w:hAnsi="Times New Roman" w:cs="Times New Roman"/>
          <w:b/>
          <w:sz w:val="24"/>
          <w:szCs w:val="24"/>
        </w:rPr>
        <w:t>Concluzii</w:t>
      </w:r>
    </w:p>
    <w:p w14:paraId="4800D41F" w14:textId="5C9D219B" w:rsidR="00E80F71" w:rsidRDefault="0030193A" w:rsidP="00E80F71">
      <w:pPr>
        <w:spacing w:after="0"/>
        <w:jc w:val="both"/>
        <w:rPr>
          <w:rFonts w:ascii="Times New Roman" w:hAnsi="Times New Roman" w:cs="Times New Roman"/>
        </w:rPr>
      </w:pPr>
      <w:r w:rsidRPr="00BC758C">
        <w:rPr>
          <w:rFonts w:ascii="Times New Roman" w:hAnsi="Times New Roman" w:cs="Times New Roman"/>
        </w:rPr>
        <w:t xml:space="preserve">Ziua Mondială a Sănătății 2019, celebrată în data de 7 Aprilie, are ca temă la nivel național </w:t>
      </w:r>
      <w:r w:rsidR="00E80F71">
        <w:rPr>
          <w:rFonts w:ascii="Times New Roman" w:hAnsi="Times New Roman" w:cs="Times New Roman"/>
          <w:b/>
        </w:rPr>
        <w:t>A</w:t>
      </w:r>
      <w:r w:rsidRPr="00BC758C">
        <w:rPr>
          <w:rFonts w:ascii="Times New Roman" w:hAnsi="Times New Roman" w:cs="Times New Roman"/>
          <w:b/>
        </w:rPr>
        <w:t>coperirea universală cu servicii de sănătate preventive</w:t>
      </w:r>
      <w:r w:rsidRPr="00BC758C">
        <w:rPr>
          <w:rFonts w:ascii="Times New Roman" w:hAnsi="Times New Roman" w:cs="Times New Roman"/>
        </w:rPr>
        <w:t xml:space="preserve">. </w:t>
      </w:r>
      <w:r w:rsidR="00383918" w:rsidRPr="00BC758C">
        <w:rPr>
          <w:rFonts w:ascii="Times New Roman" w:hAnsi="Times New Roman" w:cs="Times New Roman"/>
        </w:rPr>
        <w:t>Tema campaniei naționale este: ”</w:t>
      </w:r>
      <w:r w:rsidR="00383918" w:rsidRPr="00BC758C">
        <w:rPr>
          <w:rFonts w:ascii="Times New Roman" w:hAnsi="Times New Roman" w:cs="Times New Roman"/>
          <w:b/>
        </w:rPr>
        <w:t>Prin prevenție, sănătate pentru toți!</w:t>
      </w:r>
      <w:r w:rsidR="00383918" w:rsidRPr="00BC758C">
        <w:rPr>
          <w:rFonts w:ascii="Times New Roman" w:hAnsi="Times New Roman" w:cs="Times New Roman"/>
        </w:rPr>
        <w:t xml:space="preserve">”. </w:t>
      </w:r>
      <w:r w:rsidRPr="00BC758C">
        <w:rPr>
          <w:rFonts w:ascii="Times New Roman" w:hAnsi="Times New Roman" w:cs="Times New Roman"/>
        </w:rPr>
        <w:t xml:space="preserve">Serviciile preventive aduc numeroase beneficii </w:t>
      </w:r>
      <w:r w:rsidR="00383918" w:rsidRPr="00BC758C">
        <w:rPr>
          <w:rFonts w:ascii="Times New Roman" w:hAnsi="Times New Roman" w:cs="Times New Roman"/>
        </w:rPr>
        <w:t xml:space="preserve">atât </w:t>
      </w:r>
      <w:r w:rsidRPr="00BC758C">
        <w:rPr>
          <w:rFonts w:ascii="Times New Roman" w:hAnsi="Times New Roman" w:cs="Times New Roman"/>
        </w:rPr>
        <w:t xml:space="preserve">din punct de vedere </w:t>
      </w:r>
      <w:r w:rsidR="00383918" w:rsidRPr="00BC758C">
        <w:rPr>
          <w:rFonts w:ascii="Times New Roman" w:hAnsi="Times New Roman" w:cs="Times New Roman"/>
        </w:rPr>
        <w:t>al reducerii anilor de viață ajustați pentru dizabilitate (disabil</w:t>
      </w:r>
      <w:r w:rsidR="00763A49">
        <w:rPr>
          <w:rFonts w:ascii="Times New Roman" w:hAnsi="Times New Roman" w:cs="Times New Roman"/>
        </w:rPr>
        <w:t xml:space="preserve">ity adjusted life years – DALY), </w:t>
      </w:r>
      <w:r w:rsidR="00383918" w:rsidRPr="00BC758C">
        <w:rPr>
          <w:rFonts w:ascii="Times New Roman" w:hAnsi="Times New Roman" w:cs="Times New Roman"/>
        </w:rPr>
        <w:t>a reducerii costurilor în sistemele medical și de asistență socială</w:t>
      </w:r>
      <w:r w:rsidR="00763A49">
        <w:rPr>
          <w:rFonts w:ascii="Times New Roman" w:hAnsi="Times New Roman" w:cs="Times New Roman"/>
        </w:rPr>
        <w:t>, cât și a creșterii calității vieții</w:t>
      </w:r>
      <w:r w:rsidR="00383918" w:rsidRPr="00BC758C">
        <w:rPr>
          <w:rFonts w:ascii="Times New Roman" w:hAnsi="Times New Roman" w:cs="Times New Roman"/>
        </w:rPr>
        <w:t>. Obiectivele campaniei</w:t>
      </w:r>
      <w:r w:rsidR="00E80F71">
        <w:rPr>
          <w:rFonts w:ascii="Times New Roman" w:hAnsi="Times New Roman" w:cs="Times New Roman"/>
        </w:rPr>
        <w:t xml:space="preserve"> naționale</w:t>
      </w:r>
      <w:r w:rsidR="00383918" w:rsidRPr="00BC758C">
        <w:rPr>
          <w:rFonts w:ascii="Times New Roman" w:hAnsi="Times New Roman" w:cs="Times New Roman"/>
        </w:rPr>
        <w:t xml:space="preserve"> sunt: creșterea nivelului de informare și conștientizare în rândul </w:t>
      </w:r>
      <w:r w:rsidR="00383918" w:rsidRPr="00BC758C">
        <w:rPr>
          <w:rFonts w:ascii="Times New Roman" w:hAnsi="Times New Roman" w:cs="Times New Roman"/>
          <w:b/>
        </w:rPr>
        <w:t>populației generale</w:t>
      </w:r>
      <w:r w:rsidR="00E80F71">
        <w:rPr>
          <w:rFonts w:ascii="Times New Roman" w:hAnsi="Times New Roman" w:cs="Times New Roman"/>
        </w:rPr>
        <w:t xml:space="preserve"> în ceea ce privește serviciile </w:t>
      </w:r>
      <w:r w:rsidR="00383918" w:rsidRPr="00BC758C">
        <w:rPr>
          <w:rFonts w:ascii="Times New Roman" w:hAnsi="Times New Roman" w:cs="Times New Roman"/>
        </w:rPr>
        <w:t>preventive disponibile (</w:t>
      </w:r>
      <w:r w:rsidR="00BA0FE2" w:rsidRPr="00BC758C">
        <w:rPr>
          <w:rFonts w:ascii="Times New Roman" w:hAnsi="Times New Roman" w:cs="Times New Roman"/>
        </w:rPr>
        <w:t xml:space="preserve">Mesaj grup țintă: </w:t>
      </w:r>
      <w:r w:rsidR="00383918" w:rsidRPr="00BC758C">
        <w:rPr>
          <w:rFonts w:ascii="Times New Roman" w:hAnsi="Times New Roman" w:cs="Times New Roman"/>
        </w:rPr>
        <w:t>”</w:t>
      </w:r>
      <w:r w:rsidR="00383918" w:rsidRPr="00BC758C">
        <w:rPr>
          <w:rFonts w:ascii="Times New Roman" w:hAnsi="Times New Roman" w:cs="Times New Roman"/>
          <w:b/>
          <w:i/>
        </w:rPr>
        <w:t xml:space="preserve">Întrebați-vă medicul </w:t>
      </w:r>
      <w:r w:rsidR="00763A49">
        <w:rPr>
          <w:rFonts w:ascii="Times New Roman" w:hAnsi="Times New Roman" w:cs="Times New Roman"/>
          <w:b/>
          <w:i/>
        </w:rPr>
        <w:t>d</w:t>
      </w:r>
      <w:r w:rsidR="00383918" w:rsidRPr="00BC758C">
        <w:rPr>
          <w:rFonts w:ascii="Times New Roman" w:hAnsi="Times New Roman" w:cs="Times New Roman"/>
          <w:b/>
          <w:i/>
        </w:rPr>
        <w:t>e familie despre serviciile preventive</w:t>
      </w:r>
      <w:r w:rsidR="00383918" w:rsidRPr="00BC758C">
        <w:rPr>
          <w:rFonts w:ascii="Times New Roman" w:hAnsi="Times New Roman" w:cs="Times New Roman"/>
        </w:rPr>
        <w:t xml:space="preserve">”) și creșterea resposabilității în rândul </w:t>
      </w:r>
      <w:r w:rsidR="00383918" w:rsidRPr="00BC758C">
        <w:rPr>
          <w:rFonts w:ascii="Times New Roman" w:hAnsi="Times New Roman" w:cs="Times New Roman"/>
          <w:b/>
        </w:rPr>
        <w:t>profesion</w:t>
      </w:r>
      <w:r w:rsidR="00E80F71">
        <w:rPr>
          <w:rFonts w:ascii="Times New Roman" w:hAnsi="Times New Roman" w:cs="Times New Roman"/>
          <w:b/>
        </w:rPr>
        <w:t>i</w:t>
      </w:r>
      <w:r w:rsidR="00383918" w:rsidRPr="00BC758C">
        <w:rPr>
          <w:rFonts w:ascii="Times New Roman" w:hAnsi="Times New Roman" w:cs="Times New Roman"/>
          <w:b/>
        </w:rPr>
        <w:t>știlor din sănătate</w:t>
      </w:r>
      <w:r w:rsidR="00383918" w:rsidRPr="00BC758C">
        <w:rPr>
          <w:rFonts w:ascii="Times New Roman" w:hAnsi="Times New Roman" w:cs="Times New Roman"/>
        </w:rPr>
        <w:t xml:space="preserve"> (în special medici de familie, asistenți medicali comunitari, mediatori sanitari, medici, </w:t>
      </w:r>
      <w:r w:rsidR="009F7B4B">
        <w:rPr>
          <w:rFonts w:ascii="Times New Roman" w:hAnsi="Times New Roman" w:cs="Times New Roman"/>
        </w:rPr>
        <w:t>medici dentiști</w:t>
      </w:r>
      <w:r w:rsidR="00383918" w:rsidRPr="00BC758C">
        <w:rPr>
          <w:rFonts w:ascii="Times New Roman" w:hAnsi="Times New Roman" w:cs="Times New Roman"/>
        </w:rPr>
        <w:t xml:space="preserve"> și asistente de medicină școlară), cu privi</w:t>
      </w:r>
      <w:r w:rsidR="00E80F71">
        <w:rPr>
          <w:rFonts w:ascii="Times New Roman" w:hAnsi="Times New Roman" w:cs="Times New Roman"/>
        </w:rPr>
        <w:t xml:space="preserve">re la oferirea acestor servicii </w:t>
      </w:r>
      <w:r w:rsidR="00383918" w:rsidRPr="00BC758C">
        <w:rPr>
          <w:rFonts w:ascii="Times New Roman" w:hAnsi="Times New Roman" w:cs="Times New Roman"/>
        </w:rPr>
        <w:t>pentru toată populația (</w:t>
      </w:r>
      <w:r w:rsidR="00BA0FE2" w:rsidRPr="00BC758C">
        <w:rPr>
          <w:rFonts w:ascii="Times New Roman" w:hAnsi="Times New Roman" w:cs="Times New Roman"/>
        </w:rPr>
        <w:t>Mesaj grup țintă: ”</w:t>
      </w:r>
      <w:r w:rsidR="00BA0FE2" w:rsidRPr="00BC758C">
        <w:rPr>
          <w:rFonts w:ascii="Times New Roman" w:hAnsi="Times New Roman" w:cs="Times New Roman"/>
          <w:b/>
          <w:i/>
        </w:rPr>
        <w:t>Informați-vă pacienții cu privire la serviciile preventive</w:t>
      </w:r>
      <w:r w:rsidR="00BA0FE2" w:rsidRPr="00BC758C">
        <w:rPr>
          <w:rFonts w:ascii="Times New Roman" w:hAnsi="Times New Roman" w:cs="Times New Roman"/>
        </w:rPr>
        <w:t>”</w:t>
      </w:r>
      <w:r w:rsidR="00383918" w:rsidRPr="00BC758C">
        <w:rPr>
          <w:rFonts w:ascii="Times New Roman" w:hAnsi="Times New Roman" w:cs="Times New Roman"/>
        </w:rPr>
        <w:t>)</w:t>
      </w:r>
      <w:r w:rsidR="00BA0FE2" w:rsidRPr="00BC758C">
        <w:rPr>
          <w:rFonts w:ascii="Times New Roman" w:hAnsi="Times New Roman" w:cs="Times New Roman"/>
        </w:rPr>
        <w:t>.</w:t>
      </w:r>
      <w:r w:rsidR="00E80F71">
        <w:rPr>
          <w:rFonts w:ascii="Times New Roman" w:hAnsi="Times New Roman" w:cs="Times New Roman"/>
        </w:rPr>
        <w:t xml:space="preserve"> </w:t>
      </w:r>
    </w:p>
    <w:p w14:paraId="62D6747D" w14:textId="77777777" w:rsidR="00483EEF" w:rsidRPr="00E80F71" w:rsidRDefault="00E80F71" w:rsidP="00E80F71">
      <w:pPr>
        <w:spacing w:after="0"/>
        <w:jc w:val="both"/>
        <w:rPr>
          <w:rFonts w:ascii="Times New Roman" w:hAnsi="Times New Roman" w:cs="Times New Roman"/>
        </w:rPr>
      </w:pPr>
      <w:r>
        <w:rPr>
          <w:rFonts w:ascii="Times New Roman" w:hAnsi="Times New Roman" w:cs="Times New Roman"/>
        </w:rPr>
        <w:t xml:space="preserve">Prin </w:t>
      </w:r>
      <w:r w:rsidR="006E55D7">
        <w:rPr>
          <w:rFonts w:ascii="Times New Roman" w:hAnsi="Times New Roman" w:cs="Times New Roman"/>
        </w:rPr>
        <w:t xml:space="preserve">definirea și descrierea conceptului de acoperire universală cu servicii de sănăate, </w:t>
      </w:r>
      <w:r>
        <w:rPr>
          <w:rFonts w:ascii="Times New Roman" w:hAnsi="Times New Roman" w:cs="Times New Roman"/>
        </w:rPr>
        <w:t>prezentarea importanței serviciilor preventive</w:t>
      </w:r>
      <w:r w:rsidR="006E55D7">
        <w:rPr>
          <w:rFonts w:ascii="Times New Roman" w:hAnsi="Times New Roman" w:cs="Times New Roman"/>
        </w:rPr>
        <w:t xml:space="preserve"> pentru atingerea conceptului de UHC</w:t>
      </w:r>
      <w:r>
        <w:rPr>
          <w:rFonts w:ascii="Times New Roman" w:hAnsi="Times New Roman" w:cs="Times New Roman"/>
        </w:rPr>
        <w:t>,</w:t>
      </w:r>
      <w:r w:rsidR="006E55D7">
        <w:rPr>
          <w:rFonts w:ascii="Times New Roman" w:hAnsi="Times New Roman" w:cs="Times New Roman"/>
        </w:rPr>
        <w:t xml:space="preserve"> prezentarea </w:t>
      </w:r>
      <w:r>
        <w:rPr>
          <w:rFonts w:ascii="Times New Roman" w:hAnsi="Times New Roman" w:cs="Times New Roman"/>
        </w:rPr>
        <w:t xml:space="preserve">unor informații de sinteză cu privire la povara bolilor cu cauze prevenibile la nivel european și în România, precum și a prevederilor legale în vigoare cu privire la modalitățile de adresare a factorilor de risc pentru aceste boli (sub-capitolele 5.1, 5.2, 5.3) și a unor instrumente de lucru pentru personalul medical din medicina primară (sub-capitolele 5.2 și 5.4), </w:t>
      </w:r>
      <w:r w:rsidR="006E55D7">
        <w:rPr>
          <w:rFonts w:ascii="Times New Roman" w:hAnsi="Times New Roman" w:cs="Times New Roman"/>
        </w:rPr>
        <w:t xml:space="preserve">sperăm că am oferit o analiză de situație cuprinzătoare și utilă în vederea documentării și orientării activităților de celebrare a ZMS, 7 Aprilie2019, la nivel național.  </w:t>
      </w:r>
      <w:r>
        <w:rPr>
          <w:rFonts w:ascii="Times New Roman" w:hAnsi="Times New Roman" w:cs="Times New Roman"/>
        </w:rPr>
        <w:t xml:space="preserve"> </w:t>
      </w:r>
      <w:r w:rsidR="00483EEF" w:rsidRPr="00BC758C">
        <w:rPr>
          <w:rFonts w:ascii="Times New Roman" w:hAnsi="Times New Roman" w:cs="Times New Roman"/>
          <w:b/>
        </w:rPr>
        <w:br w:type="page"/>
      </w:r>
    </w:p>
    <w:p w14:paraId="594E3662" w14:textId="131E4B7E" w:rsidR="00483EEF" w:rsidRPr="00EE59A2" w:rsidRDefault="00483EEF" w:rsidP="005D6DB2">
      <w:pPr>
        <w:spacing w:after="0"/>
        <w:jc w:val="both"/>
        <w:rPr>
          <w:rFonts w:ascii="Times New Roman" w:hAnsi="Times New Roman" w:cs="Times New Roman"/>
        </w:rPr>
      </w:pPr>
    </w:p>
    <w:sectPr w:rsidR="00483EEF" w:rsidRPr="00EE59A2" w:rsidSect="00616E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AA0F2" w14:textId="77777777" w:rsidR="00390B3A" w:rsidRDefault="00390B3A" w:rsidP="0053218B">
      <w:pPr>
        <w:spacing w:after="0" w:line="240" w:lineRule="auto"/>
      </w:pPr>
      <w:r>
        <w:separator/>
      </w:r>
    </w:p>
  </w:endnote>
  <w:endnote w:type="continuationSeparator" w:id="0">
    <w:p w14:paraId="0EA1167E" w14:textId="77777777" w:rsidR="00390B3A" w:rsidRDefault="00390B3A" w:rsidP="0053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903034"/>
      <w:docPartObj>
        <w:docPartGallery w:val="Page Numbers (Bottom of Page)"/>
        <w:docPartUnique/>
      </w:docPartObj>
    </w:sdtPr>
    <w:sdtEndPr/>
    <w:sdtContent>
      <w:p w14:paraId="0F4D651C" w14:textId="77777777" w:rsidR="000C106E" w:rsidRDefault="000C106E">
        <w:pPr>
          <w:pStyle w:val="Footer"/>
          <w:jc w:val="center"/>
        </w:pPr>
        <w:r>
          <w:fldChar w:fldCharType="begin"/>
        </w:r>
        <w:r>
          <w:instrText xml:space="preserve"> PAGE   \* MERGEFORMAT </w:instrText>
        </w:r>
        <w:r>
          <w:fldChar w:fldCharType="separate"/>
        </w:r>
        <w:r w:rsidR="00B22BB3">
          <w:rPr>
            <w:noProof/>
          </w:rPr>
          <w:t>16</w:t>
        </w:r>
        <w:r>
          <w:rPr>
            <w:noProof/>
          </w:rPr>
          <w:fldChar w:fldCharType="end"/>
        </w:r>
      </w:p>
    </w:sdtContent>
  </w:sdt>
  <w:p w14:paraId="272C9381" w14:textId="77777777" w:rsidR="000C106E" w:rsidRDefault="000C1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30E0" w14:textId="77777777" w:rsidR="00390B3A" w:rsidRDefault="00390B3A" w:rsidP="0053218B">
      <w:pPr>
        <w:spacing w:after="0" w:line="240" w:lineRule="auto"/>
      </w:pPr>
      <w:r>
        <w:separator/>
      </w:r>
    </w:p>
  </w:footnote>
  <w:footnote w:type="continuationSeparator" w:id="0">
    <w:p w14:paraId="469A5B4A" w14:textId="77777777" w:rsidR="00390B3A" w:rsidRDefault="00390B3A" w:rsidP="0053218B">
      <w:pPr>
        <w:spacing w:after="0" w:line="240" w:lineRule="auto"/>
      </w:pPr>
      <w:r>
        <w:continuationSeparator/>
      </w:r>
    </w:p>
  </w:footnote>
  <w:footnote w:id="1">
    <w:p w14:paraId="3107C67F"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1" w:history="1">
        <w:r w:rsidRPr="00BC758C">
          <w:rPr>
            <w:rStyle w:val="Hyperlink"/>
            <w:rFonts w:ascii="Times New Roman" w:hAnsi="Times New Roman" w:cs="Times New Roman"/>
            <w:sz w:val="16"/>
            <w:szCs w:val="16"/>
          </w:rPr>
          <w:t>https://www.who.int/campaigns/world-health-day/world-health-day-2019</w:t>
        </w:r>
      </w:hyperlink>
      <w:r w:rsidRPr="00BC758C">
        <w:rPr>
          <w:rStyle w:val="Hyperlink"/>
          <w:rFonts w:ascii="Times New Roman" w:hAnsi="Times New Roman" w:cs="Times New Roman"/>
          <w:sz w:val="16"/>
          <w:szCs w:val="16"/>
        </w:rPr>
        <w:t xml:space="preserve"> </w:t>
      </w:r>
    </w:p>
  </w:footnote>
  <w:footnote w:id="2">
    <w:p w14:paraId="1256BFF2"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2" w:history="1">
        <w:r w:rsidRPr="00BC758C">
          <w:rPr>
            <w:rStyle w:val="Hyperlink"/>
            <w:rFonts w:ascii="Times New Roman" w:hAnsi="Times New Roman" w:cs="Times New Roman"/>
            <w:sz w:val="16"/>
            <w:szCs w:val="16"/>
          </w:rPr>
          <w:t>https://www.who.int/world-health-day/previous/en/</w:t>
        </w:r>
      </w:hyperlink>
      <w:r w:rsidRPr="00BC758C">
        <w:rPr>
          <w:rStyle w:val="Hyperlink"/>
          <w:rFonts w:ascii="Times New Roman" w:hAnsi="Times New Roman" w:cs="Times New Roman"/>
          <w:sz w:val="16"/>
          <w:szCs w:val="16"/>
        </w:rPr>
        <w:t xml:space="preserve">; http://www.euro.who.int/en/about-us/whd/past-themes-of-world-health-day </w:t>
      </w:r>
    </w:p>
  </w:footnote>
  <w:footnote w:id="3">
    <w:p w14:paraId="250E572B"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3" w:history="1">
        <w:r w:rsidRPr="00BC758C">
          <w:rPr>
            <w:rStyle w:val="Hyperlink"/>
            <w:rFonts w:ascii="Times New Roman" w:hAnsi="Times New Roman" w:cs="Times New Roman"/>
            <w:sz w:val="16"/>
            <w:szCs w:val="16"/>
          </w:rPr>
          <w:t>https://www.who.int/en/news-room/fact-sheets/detail/universal-health-coverage-(uhc)</w:t>
        </w:r>
      </w:hyperlink>
    </w:p>
  </w:footnote>
  <w:footnote w:id="4">
    <w:p w14:paraId="3232E590" w14:textId="77777777" w:rsidR="000C106E" w:rsidRPr="00BC758C" w:rsidRDefault="000C106E" w:rsidP="003638D0">
      <w:pPr>
        <w:spacing w:after="0" w:line="240" w:lineRule="auto"/>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4" w:history="1">
        <w:r w:rsidRPr="00BC758C">
          <w:rPr>
            <w:rStyle w:val="Hyperlink"/>
            <w:rFonts w:ascii="Times New Roman" w:hAnsi="Times New Roman" w:cs="Times New Roman"/>
            <w:sz w:val="16"/>
            <w:szCs w:val="16"/>
          </w:rPr>
          <w:t>http://www.who.int/health_financing/universal_coverage_definition/en/</w:t>
        </w:r>
      </w:hyperlink>
    </w:p>
  </w:footnote>
  <w:footnote w:id="5">
    <w:p w14:paraId="659D9017" w14:textId="77777777" w:rsidR="000C106E" w:rsidRPr="00BC758C" w:rsidRDefault="000C106E" w:rsidP="003638D0">
      <w:pPr>
        <w:pStyle w:val="CommentText"/>
        <w:spacing w:after="0"/>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5" w:history="1">
        <w:r w:rsidRPr="00BC758C">
          <w:rPr>
            <w:rStyle w:val="Hyperlink"/>
            <w:rFonts w:ascii="Times New Roman" w:hAnsi="Times New Roman" w:cs="Times New Roman"/>
            <w:sz w:val="16"/>
            <w:szCs w:val="16"/>
          </w:rPr>
          <w:t>http://www.who.int/mediacentre/factsheets/fs395/en/</w:t>
        </w:r>
      </w:hyperlink>
    </w:p>
  </w:footnote>
  <w:footnote w:id="6">
    <w:p w14:paraId="68ADA6D5" w14:textId="77777777" w:rsidR="000C106E" w:rsidRPr="00BC758C" w:rsidRDefault="000C106E" w:rsidP="003638D0">
      <w:pPr>
        <w:pStyle w:val="CommentText"/>
        <w:spacing w:after="0"/>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6" w:history="1">
        <w:r w:rsidRPr="00BC758C">
          <w:rPr>
            <w:rStyle w:val="Hyperlink"/>
            <w:rFonts w:ascii="Times New Roman" w:hAnsi="Times New Roman" w:cs="Times New Roman"/>
            <w:sz w:val="16"/>
            <w:szCs w:val="16"/>
          </w:rPr>
          <w:t>http://www.euractiv.ro/we-develop/ce-reprezinta-cele-17-obiective-de-dezvoltare-durabila-odd-incluse-pe-agenda-2030-6402</w:t>
        </w:r>
      </w:hyperlink>
    </w:p>
  </w:footnote>
  <w:footnote w:id="7">
    <w:p w14:paraId="68E62978" w14:textId="77777777" w:rsidR="000C106E" w:rsidRPr="00BC758C" w:rsidRDefault="000C106E" w:rsidP="00C06AEE">
      <w:pPr>
        <w:pStyle w:val="CommentText"/>
        <w:spacing w:after="0"/>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7" w:history="1">
        <w:r w:rsidRPr="00BC758C">
          <w:rPr>
            <w:rStyle w:val="Hyperlink"/>
            <w:rFonts w:ascii="Times New Roman" w:hAnsi="Times New Roman" w:cs="Times New Roman"/>
            <w:sz w:val="16"/>
            <w:szCs w:val="16"/>
          </w:rPr>
          <w:t>http://www.who.int/sdg/targets/en/</w:t>
        </w:r>
      </w:hyperlink>
    </w:p>
  </w:footnote>
  <w:footnote w:id="8">
    <w:p w14:paraId="60D1D69B"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8" w:history="1">
        <w:r w:rsidRPr="00BC758C">
          <w:rPr>
            <w:rStyle w:val="Hyperlink"/>
            <w:rFonts w:ascii="Times New Roman" w:hAnsi="Times New Roman" w:cs="Times New Roman"/>
            <w:sz w:val="16"/>
            <w:szCs w:val="16"/>
          </w:rPr>
          <w:t>http://apps.who.int/gho/portal/uhc-country.jsp</w:t>
        </w:r>
      </w:hyperlink>
      <w:r w:rsidRPr="00BC758C">
        <w:rPr>
          <w:rFonts w:ascii="Times New Roman" w:hAnsi="Times New Roman" w:cs="Times New Roman"/>
          <w:sz w:val="16"/>
          <w:szCs w:val="16"/>
        </w:rPr>
        <w:t xml:space="preserve"> </w:t>
      </w:r>
    </w:p>
  </w:footnote>
  <w:footnote w:id="9">
    <w:p w14:paraId="6D22D55E"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9" w:history="1">
        <w:r w:rsidRPr="00BC758C">
          <w:rPr>
            <w:rStyle w:val="Hyperlink"/>
            <w:rFonts w:ascii="Times New Roman" w:hAnsi="Times New Roman" w:cs="Times New Roman"/>
            <w:sz w:val="16"/>
            <w:szCs w:val="16"/>
          </w:rPr>
          <w:t>https://www.who.int/en/news-room/fact-sheets/detail/universal-health-coverage-(uhc)</w:t>
        </w:r>
      </w:hyperlink>
    </w:p>
  </w:footnote>
  <w:footnote w:id="10">
    <w:p w14:paraId="6C6067EA"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10" w:history="1">
        <w:r w:rsidRPr="00BC758C">
          <w:rPr>
            <w:rStyle w:val="Hyperlink"/>
            <w:rFonts w:ascii="Times New Roman" w:hAnsi="Times New Roman" w:cs="Times New Roman"/>
            <w:sz w:val="16"/>
            <w:szCs w:val="16"/>
          </w:rPr>
          <w:t>https://www.who.int/en/news-room/fact-sheets/detail/universal-health-coverage-(uhc)</w:t>
        </w:r>
      </w:hyperlink>
    </w:p>
  </w:footnote>
  <w:footnote w:id="11">
    <w:p w14:paraId="497F6415"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hyperlink r:id="rId11" w:history="1">
        <w:r w:rsidRPr="00BC758C">
          <w:rPr>
            <w:rStyle w:val="Hyperlink"/>
            <w:rFonts w:ascii="Times New Roman" w:hAnsi="Times New Roman" w:cs="Times New Roman"/>
            <w:sz w:val="16"/>
            <w:szCs w:val="16"/>
          </w:rPr>
          <w:t>https://ec.europa.eu/health/sites/health/files/state/docs/2017_companion_en.pdf?fbclid=IwAR00grukHIX4RePDv9dzTXrT4aLQRJDCwXCrvb9yRJaoBONOFm4gsfog0lQ</w:t>
        </w:r>
      </w:hyperlink>
    </w:p>
  </w:footnote>
  <w:footnote w:id="12">
    <w:p w14:paraId="372F5F02"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12" w:history="1">
        <w:r w:rsidRPr="00BC758C">
          <w:rPr>
            <w:rStyle w:val="Hyperlink"/>
            <w:rFonts w:ascii="Times New Roman" w:hAnsi="Times New Roman" w:cs="Times New Roman"/>
            <w:sz w:val="16"/>
            <w:szCs w:val="16"/>
          </w:rPr>
          <w:t>https://www.oecd-ilibrary.org/docserver/9780335262274-en.pdf?expires=1552906058&amp;id=id&amp;accname=guest&amp;checksum=EBC474A22C92FDB03603071969008178</w:t>
        </w:r>
      </w:hyperlink>
    </w:p>
  </w:footnote>
  <w:footnote w:id="13">
    <w:p w14:paraId="2F5CA05A"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hyperlink r:id="rId13" w:history="1">
        <w:r w:rsidRPr="00BC758C">
          <w:rPr>
            <w:rStyle w:val="Hyperlink"/>
            <w:rFonts w:ascii="Times New Roman" w:hAnsi="Times New Roman" w:cs="Times New Roman"/>
            <w:sz w:val="16"/>
            <w:szCs w:val="16"/>
          </w:rPr>
          <w:t>https://ec.europa.eu/health/sites/health/files/state/docs/2017_companion_en.pdf?fbclid=IwAR00grukHIX4RePDv9dzTXrT4aLQRJDCwXCrvb9yRJaoBONOFm4gsfog0lQ</w:t>
        </w:r>
      </w:hyperlink>
    </w:p>
  </w:footnote>
  <w:footnote w:id="14">
    <w:p w14:paraId="0F806142"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14" w:history="1">
        <w:r w:rsidRPr="00BC758C">
          <w:rPr>
            <w:rStyle w:val="Hyperlink"/>
            <w:rFonts w:ascii="Times New Roman" w:hAnsi="Times New Roman" w:cs="Times New Roman"/>
            <w:sz w:val="16"/>
            <w:szCs w:val="16"/>
          </w:rPr>
          <w:t>https://www.who.int/campaigns/world-health-day/world-health-day-2019/communications-materials</w:t>
        </w:r>
      </w:hyperlink>
    </w:p>
  </w:footnote>
  <w:footnote w:id="15">
    <w:p w14:paraId="4B1FDC2B"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15" w:history="1">
        <w:r w:rsidRPr="00BC758C">
          <w:rPr>
            <w:rStyle w:val="Hyperlink"/>
            <w:rFonts w:ascii="Times New Roman" w:hAnsi="Times New Roman" w:cs="Times New Roman"/>
            <w:sz w:val="16"/>
            <w:szCs w:val="16"/>
          </w:rPr>
          <w:t>https://www.who.int/campaigns/world-health-day/world-health-day-2019/key-messages</w:t>
        </w:r>
      </w:hyperlink>
    </w:p>
  </w:footnote>
  <w:footnote w:id="16">
    <w:p w14:paraId="204E4A7F" w14:textId="77777777" w:rsidR="000C106E" w:rsidRPr="00BC758C" w:rsidRDefault="000C106E" w:rsidP="00C06AEE">
      <w:pPr>
        <w:autoSpaceDE w:val="0"/>
        <w:autoSpaceDN w:val="0"/>
        <w:adjustRightInd w:val="0"/>
        <w:spacing w:after="0" w:line="240" w:lineRule="auto"/>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Eurostat (2018), </w:t>
      </w:r>
      <w:r w:rsidRPr="00BC758C">
        <w:rPr>
          <w:rFonts w:ascii="Times New Roman" w:hAnsi="Times New Roman" w:cs="Times New Roman"/>
          <w:i/>
          <w:iCs/>
          <w:sz w:val="16"/>
          <w:szCs w:val="16"/>
        </w:rPr>
        <w:t>Amenable and preventable deaths statistics</w:t>
      </w:r>
      <w:r w:rsidRPr="00BC758C">
        <w:rPr>
          <w:rFonts w:ascii="Times New Roman" w:hAnsi="Times New Roman" w:cs="Times New Roman"/>
          <w:sz w:val="16"/>
          <w:szCs w:val="16"/>
        </w:rPr>
        <w:t>, Statistics Explained, June 2018</w:t>
      </w:r>
    </w:p>
  </w:footnote>
  <w:footnote w:id="17">
    <w:p w14:paraId="768C9AB0"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16" w:history="1">
        <w:r w:rsidRPr="00BC758C">
          <w:rPr>
            <w:rStyle w:val="Hyperlink"/>
            <w:rFonts w:ascii="Times New Roman" w:hAnsi="Times New Roman" w:cs="Times New Roman"/>
            <w:sz w:val="16"/>
            <w:szCs w:val="16"/>
          </w:rPr>
          <w:t>https://www.oecd-ilibrary.org/docserver/9780335262274-en.pdf?expires=1552906058&amp;id=id&amp;accname=guest&amp;checksum=EBC474A22C92FDB03603071969008178</w:t>
        </w:r>
      </w:hyperlink>
    </w:p>
  </w:footnote>
  <w:footnote w:id="18">
    <w:p w14:paraId="0B1746C1"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hyperlink r:id="rId17" w:history="1">
        <w:r w:rsidRPr="00BC758C">
          <w:rPr>
            <w:rStyle w:val="Hyperlink"/>
            <w:rFonts w:ascii="Times New Roman" w:hAnsi="Times New Roman" w:cs="Times New Roman"/>
            <w:sz w:val="16"/>
            <w:szCs w:val="16"/>
          </w:rPr>
          <w:t>https://ec.europa.eu/health/sites/health/files/state/docs/chp_romania_romanian.pdf?fbclid=IwAR1Fc60Oi0YA4tuPmyR6LvnqCywCGmiQpyb2uSnDCcsuM6KR2ZwOpipurNA</w:t>
        </w:r>
      </w:hyperlink>
    </w:p>
  </w:footnote>
  <w:footnote w:id="19">
    <w:p w14:paraId="1702147C"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Institute for Health Metrics and Evaluation – IHME 2016</w:t>
      </w:r>
    </w:p>
  </w:footnote>
  <w:footnote w:id="20">
    <w:p w14:paraId="45D89FA1"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Eurostat – EHIS 2014</w:t>
      </w:r>
    </w:p>
  </w:footnote>
  <w:footnote w:id="21">
    <w:p w14:paraId="2270C160"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18" w:anchor="Healthcare_personnel" w:history="1">
        <w:r w:rsidRPr="00BC758C">
          <w:rPr>
            <w:rStyle w:val="Hyperlink"/>
            <w:rFonts w:ascii="Times New Roman" w:hAnsi="Times New Roman" w:cs="Times New Roman"/>
            <w:sz w:val="16"/>
            <w:szCs w:val="16"/>
          </w:rPr>
          <w:t>https://ec.europa.eu/eurostat/statistics-explained/index.php/Healthcare_personnel_statistics_-_physicians#Healthcare_personnel</w:t>
        </w:r>
      </w:hyperlink>
    </w:p>
  </w:footnote>
  <w:footnote w:id="22">
    <w:p w14:paraId="5AB74A34"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hyperlink r:id="rId19" w:history="1">
        <w:r w:rsidRPr="00BC758C">
          <w:rPr>
            <w:rStyle w:val="Hyperlink"/>
            <w:rFonts w:ascii="Times New Roman" w:hAnsi="Times New Roman" w:cs="Times New Roman"/>
            <w:sz w:val="16"/>
            <w:szCs w:val="16"/>
          </w:rPr>
          <w:t>https://ec.europa.eu/health/sites/health/files/state/docs/chp_romania_romanian.pdf?fbclid=IwAR1Fc60Oi0YA4tuPmyR6LvnqCywCGmiQpyb2uSnDCcsuM6KR2ZwOpipurNA</w:t>
        </w:r>
      </w:hyperlink>
    </w:p>
  </w:footnote>
  <w:footnote w:id="23">
    <w:p w14:paraId="44A68DEC"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hyperlink r:id="rId20" w:history="1">
        <w:r w:rsidRPr="00BC758C">
          <w:rPr>
            <w:rStyle w:val="Hyperlink"/>
            <w:rFonts w:ascii="Times New Roman" w:hAnsi="Times New Roman" w:cs="Times New Roman"/>
            <w:sz w:val="16"/>
            <w:szCs w:val="16"/>
          </w:rPr>
          <w:t>https://ec.europa.eu/health/sites/health/files/state/docs/chp_romania_romanian.pdf?fbclid=IwAR1Fc60Oi0YA4tuPmyR6LvnqCywCGmiQpyb2uSnDCcsuM6KR2ZwOpipurNA</w:t>
        </w:r>
      </w:hyperlink>
    </w:p>
  </w:footnote>
  <w:footnote w:id="24">
    <w:p w14:paraId="449F7931"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21" w:history="1">
        <w:r w:rsidRPr="00BC758C">
          <w:rPr>
            <w:rStyle w:val="Hyperlink"/>
            <w:rFonts w:ascii="Times New Roman" w:hAnsi="Times New Roman" w:cs="Times New Roman"/>
            <w:sz w:val="16"/>
            <w:szCs w:val="16"/>
          </w:rPr>
          <w:t>http://www.ms.ro/wp-content/uploads/2016/10/Anexa-1-Strategia-Nationala-de-Sanatate-2014-2020.pdf</w:t>
        </w:r>
      </w:hyperlink>
    </w:p>
  </w:footnote>
  <w:footnote w:id="25">
    <w:p w14:paraId="34F91A34"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22" w:history="1">
        <w:r w:rsidRPr="00BC758C">
          <w:rPr>
            <w:rStyle w:val="Hyperlink"/>
            <w:rFonts w:ascii="Times New Roman" w:hAnsi="Times New Roman" w:cs="Times New Roman"/>
            <w:sz w:val="16"/>
            <w:szCs w:val="16"/>
          </w:rPr>
          <w:t>http://www.ms.ro/wp-content/uploads/2016/10/Anexa-2-Plan-de-actiuni.pdf</w:t>
        </w:r>
      </w:hyperlink>
    </w:p>
  </w:footnote>
  <w:footnote w:id="26">
    <w:p w14:paraId="536F08B8" w14:textId="77777777" w:rsidR="000C106E" w:rsidRPr="00BC758C" w:rsidRDefault="000C106E">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23" w:history="1">
        <w:r w:rsidRPr="00BC758C">
          <w:rPr>
            <w:rStyle w:val="Hyperlink"/>
            <w:rFonts w:ascii="Times New Roman" w:hAnsi="Times New Roman" w:cs="Times New Roman"/>
            <w:sz w:val="16"/>
            <w:szCs w:val="16"/>
          </w:rPr>
          <w:t>http://www.ms.ro/wp-content/uploads/2016/10/Raport-Implementare-SNS-2015.pdf</w:t>
        </w:r>
      </w:hyperlink>
    </w:p>
  </w:footnote>
  <w:footnote w:id="27">
    <w:p w14:paraId="65AE4DCA" w14:textId="77777777" w:rsidR="00BC758C" w:rsidRPr="00BC758C" w:rsidRDefault="00BC758C">
      <w:pPr>
        <w:pStyle w:val="Footnote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24" w:history="1">
        <w:r w:rsidRPr="00BC758C">
          <w:rPr>
            <w:rStyle w:val="Hyperlink"/>
            <w:rFonts w:ascii="Times New Roman" w:hAnsi="Times New Roman" w:cs="Times New Roman"/>
            <w:sz w:val="16"/>
            <w:szCs w:val="16"/>
          </w:rPr>
          <w:t>https://www.hosptm.ro/files/pn-screening-cancer-col/ordin_377_2017_full.pdf</w:t>
        </w:r>
      </w:hyperlink>
    </w:p>
  </w:footnote>
  <w:footnote w:id="28">
    <w:p w14:paraId="6AEB1B24" w14:textId="77777777" w:rsidR="00BC758C" w:rsidRPr="00BC758C" w:rsidRDefault="00BC758C" w:rsidP="00BC758C">
      <w:pPr>
        <w:pStyle w:val="CommentText"/>
        <w:rPr>
          <w:rFonts w:ascii="Times New Roman" w:hAnsi="Times New Roman" w:cs="Times New Roman"/>
          <w:sz w:val="16"/>
          <w:szCs w:val="16"/>
        </w:rPr>
      </w:pPr>
      <w:r w:rsidRPr="00BC758C">
        <w:rPr>
          <w:rStyle w:val="FootnoteReference"/>
          <w:rFonts w:ascii="Times New Roman" w:hAnsi="Times New Roman" w:cs="Times New Roman"/>
          <w:sz w:val="16"/>
          <w:szCs w:val="16"/>
        </w:rPr>
        <w:footnoteRef/>
      </w:r>
      <w:r w:rsidRPr="00BC758C">
        <w:rPr>
          <w:rFonts w:ascii="Times New Roman" w:hAnsi="Times New Roman" w:cs="Times New Roman"/>
          <w:sz w:val="16"/>
          <w:szCs w:val="16"/>
        </w:rPr>
        <w:t xml:space="preserve"> </w:t>
      </w:r>
      <w:hyperlink r:id="rId25" w:history="1">
        <w:r w:rsidRPr="00BC758C">
          <w:rPr>
            <w:rStyle w:val="Hyperlink"/>
            <w:rFonts w:ascii="Times New Roman" w:hAnsi="Times New Roman" w:cs="Times New Roman"/>
            <w:sz w:val="16"/>
            <w:szCs w:val="16"/>
          </w:rPr>
          <w:t>http://www.euro.who.int/en/health-topics/noncommunicable-diseases/cancer/news/news/2016/02/preventing-cancer-the-european-code-against-cancer</w:t>
        </w:r>
      </w:hyperlink>
      <w:r w:rsidRPr="00BC758C">
        <w:rPr>
          <w:rFonts w:ascii="Times New Roman" w:hAnsi="Times New Roman" w:cs="Times New Roman"/>
          <w:sz w:val="16"/>
          <w:szCs w:val="16"/>
        </w:rPr>
        <w:t xml:space="preserve">; </w:t>
      </w:r>
      <w:hyperlink r:id="rId26" w:history="1">
        <w:r w:rsidRPr="00BC758C">
          <w:rPr>
            <w:rStyle w:val="Hyperlink"/>
            <w:rFonts w:ascii="Times New Roman" w:hAnsi="Times New Roman" w:cs="Times New Roman"/>
            <w:sz w:val="16"/>
            <w:szCs w:val="16"/>
          </w:rPr>
          <w:t>http://www.iocn.ro/Document_Files/Ghiduri-%C5%9Fi-Bro%C5%9Furi/00000772/vbsea_Poster%20Codul%20european%20impotriva%20cancerului-%20SRC-II_A3_print.pdf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315CB" w14:textId="77777777" w:rsidR="000C106E" w:rsidRPr="0053218B" w:rsidRDefault="000C106E" w:rsidP="002E7521">
    <w:pPr>
      <w:pStyle w:val="Header"/>
      <w:jc w:val="right"/>
      <w:rPr>
        <w:b/>
        <w:color w:val="FF0000"/>
        <w:lang w:val="en-US"/>
      </w:rPr>
    </w:pPr>
    <w:r w:rsidRPr="00DE4A3B">
      <w:rPr>
        <w:noProof/>
        <w:lang w:eastAsia="ro-RO"/>
      </w:rPr>
      <w:drawing>
        <wp:anchor distT="0" distB="0" distL="114300" distR="114300" simplePos="0" relativeHeight="251665408" behindDoc="0" locked="0" layoutInCell="1" allowOverlap="1" wp14:anchorId="79E20DDD" wp14:editId="703ABE4F">
          <wp:simplePos x="0" y="0"/>
          <wp:positionH relativeFrom="column">
            <wp:posOffset>4793615</wp:posOffset>
          </wp:positionH>
          <wp:positionV relativeFrom="paragraph">
            <wp:posOffset>-420370</wp:posOffset>
          </wp:positionV>
          <wp:extent cx="590550" cy="58102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43011" name="Picture 3"/>
                  <pic:cNvPicPr>
                    <a:picLocks noChangeArrowheads="1"/>
                  </pic:cNvPicPr>
                </pic:nvPicPr>
                <pic:blipFill>
                  <a:blip r:embed="rId1" cstate="print"/>
                  <a:srcRect/>
                  <a:stretch>
                    <a:fillRect/>
                  </a:stretch>
                </pic:blipFill>
                <pic:spPr bwMode="auto">
                  <a:xfrm>
                    <a:off x="0" y="0"/>
                    <a:ext cx="590550" cy="581025"/>
                  </a:xfrm>
                  <a:prstGeom prst="rect">
                    <a:avLst/>
                  </a:prstGeom>
                  <a:noFill/>
                  <a:ln w="9525">
                    <a:noFill/>
                    <a:miter lim="800000"/>
                    <a:headEnd/>
                    <a:tailEnd/>
                  </a:ln>
                </pic:spPr>
              </pic:pic>
            </a:graphicData>
          </a:graphic>
        </wp:anchor>
      </w:drawing>
    </w:r>
    <w:r>
      <w:rPr>
        <w:noProof/>
        <w:lang w:eastAsia="ro-RO"/>
      </w:rPr>
      <w:drawing>
        <wp:anchor distT="0" distB="0" distL="114300" distR="114300" simplePos="0" relativeHeight="251663360" behindDoc="1" locked="0" layoutInCell="1" allowOverlap="1" wp14:anchorId="18A3D39D" wp14:editId="5FF9EBB3">
          <wp:simplePos x="0" y="0"/>
          <wp:positionH relativeFrom="column">
            <wp:posOffset>2641600</wp:posOffset>
          </wp:positionH>
          <wp:positionV relativeFrom="paragraph">
            <wp:posOffset>-252730</wp:posOffset>
          </wp:positionV>
          <wp:extent cx="1504950" cy="378460"/>
          <wp:effectExtent l="0" t="0" r="0" b="0"/>
          <wp:wrapNone/>
          <wp:docPr id="17" name="Picture 17" descr="CNE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P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378460"/>
                  </a:xfrm>
                  <a:prstGeom prst="rect">
                    <a:avLst/>
                  </a:prstGeom>
                  <a:noFill/>
                  <a:ln>
                    <a:noFill/>
                  </a:ln>
                </pic:spPr>
              </pic:pic>
            </a:graphicData>
          </a:graphic>
        </wp:anchor>
      </w:drawing>
    </w:r>
    <w:r w:rsidRPr="00DE4A3B">
      <w:rPr>
        <w:noProof/>
        <w:lang w:eastAsia="ro-RO"/>
      </w:rPr>
      <w:drawing>
        <wp:anchor distT="0" distB="0" distL="114300" distR="114300" simplePos="0" relativeHeight="251662336" behindDoc="0" locked="0" layoutInCell="1" allowOverlap="1" wp14:anchorId="11D41EAD" wp14:editId="11A994DD">
          <wp:simplePos x="0" y="0"/>
          <wp:positionH relativeFrom="column">
            <wp:posOffset>1395095</wp:posOffset>
          </wp:positionH>
          <wp:positionV relativeFrom="paragraph">
            <wp:posOffset>-363855</wp:posOffset>
          </wp:positionV>
          <wp:extent cx="657225" cy="62865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3016" name="Picture 8"/>
                  <pic:cNvPicPr>
                    <a:picLocks noChangeAspect="1" noChangeArrowheads="1"/>
                  </pic:cNvPicPr>
                </pic:nvPicPr>
                <pic:blipFill>
                  <a:blip r:embed="rId3" cstate="print"/>
                  <a:srcRect/>
                  <a:stretch>
                    <a:fillRect/>
                  </a:stretch>
                </pic:blipFill>
                <pic:spPr bwMode="auto">
                  <a:xfrm>
                    <a:off x="0" y="0"/>
                    <a:ext cx="657225" cy="628650"/>
                  </a:xfrm>
                  <a:prstGeom prst="rect">
                    <a:avLst/>
                  </a:prstGeom>
                  <a:noFill/>
                  <a:ln w="9525">
                    <a:noFill/>
                    <a:miter lim="800000"/>
                    <a:headEnd/>
                    <a:tailEnd/>
                  </a:ln>
                </pic:spPr>
              </pic:pic>
            </a:graphicData>
          </a:graphic>
        </wp:anchor>
      </w:drawing>
    </w:r>
    <w:r w:rsidR="00390B3A">
      <w:rPr>
        <w:noProof/>
        <w:lang w:eastAsia="ro-RO"/>
      </w:rPr>
      <w:pict w14:anchorId="4DFB4E19">
        <v:shapetype id="_x0000_t202" coordsize="21600,21600" o:spt="202" path="m,l,21600r21600,l21600,xe">
          <v:stroke joinstyle="miter"/>
          <v:path gradientshapeok="t" o:connecttype="rect"/>
        </v:shapetype>
        <v:shape id="Text Box 12" o:spid="_x0000_s2049" type="#_x0000_t202" style="position:absolute;left:0;text-align:left;margin-left:347.25pt;margin-top:12.4pt;width:108.3pt;height:23.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gLQQIAAI0EAAAOAAAAZHJzL2Uyb0RvYy54bWysVNtu2zAMfR+wfxD0vtjJ0ptRp+jSZRjQ&#10;XYB2HyDLsi1MEjVJiZ19/SgpTdP1bZgfBPGiQ/KQ9PXNpBXZCeclmJrOZyUlwnBopelr+uNx8+6S&#10;Eh+YaZkCI2q6F57erN6+uR5tJRYwgGqFIwhifDXamg4h2KooPB+EZn4GVhg0duA0Cyi6vmgdGxFd&#10;q2JRlufFCK61DrjwHrV32UhXCb/rBA/fus6LQFRNMbeQTpfOJp7F6ppVvWN2kPyQBvuHLDSTBoMe&#10;oe5YYGTr5CsoLbkDD12YcdAFdJ3kItWA1czLv6p5GJgVqRYkx9sjTf7/wfKvu++OyBZ7t6DEMI09&#10;ehRTIB9gIqhCfkbrK3R7sOgYJtSjb6rV23vgPz0xsB6Y6cWtczAOgrWY3zy+LE6eZhwfQZrxC7QY&#10;h20DJKCpczqSh3QQRMc+7Y+9ibnwGPJqUV5enFHC0bY8L9/jPYZg1dNr63z4JECTeKmpw94ndLa7&#10;9yG7PrnEYB6UbDdSqSS4vlkrR3YM52STvgP6CzdlyBgze/0+zqs4IjR9ZkhtNZaaUedl/CIqq1CP&#10;Y5n1SYVlpJGPEKmoF2G1DLgkSuqaXp6gRKo/mjYhBiZVviOUMgfuI92Z+DA1U25zzCD2pYF2j81w&#10;kHcCdxgvA7jflIy4DzX1v7bMCUrUZ4MNvZovl3GBkrA8u1ig4E4tzamFGY5QNQ2U5Os65KXbWif7&#10;ASNlggzc4hB0MvXnOatD+jjziYzDfsalOpWT1/NfZPUHAAD//wMAUEsDBBQABgAIAAAAIQAnE5YW&#10;3gAAAAkBAAAPAAAAZHJzL2Rvd25yZXYueG1sTI/BTsMwDIbvSLxDZCRuLKVs61qaTtPQHoCtB45e&#10;E9qOxKmabB08PebEbrb86ff3l+urs+JixtB7UvA8S0AYarzuqVVQH3ZPKxAhImm0noyCbxNgXd3f&#10;lVhoP9G7uexjKziEQoEKuhiHQsrQdMZhmPnBEN8+/egw8jq2Uo84cbizMk2SpXTYE3/ocDDbzjRf&#10;+7NT8JZO2w/c2VO2qmttN/hTnxYHpR4frptXENFc4z8Mf/qsDhU7Hf2ZdBBWwTKfLxhVkM65AgN5&#10;nnG5Iw/ZC8iqlLcNql8AAAD//wMAUEsBAi0AFAAGAAgAAAAhALaDOJL+AAAA4QEAABMAAAAAAAAA&#10;AAAAAAAAAAAAAFtDb250ZW50X1R5cGVzXS54bWxQSwECLQAUAAYACAAAACEAOP0h/9YAAACUAQAA&#10;CwAAAAAAAAAAAAAAAAAvAQAAX3JlbHMvLnJlbHNQSwECLQAUAAYACAAAACEAqpXoC0ECAACNBAAA&#10;DgAAAAAAAAAAAAAAAAAuAgAAZHJzL2Uyb0RvYy54bWxQSwECLQAUAAYACAAAACEAJxOWFt4AAAAJ&#10;AQAADwAAAAAAAAAAAAAAAACbBAAAZHJzL2Rvd25yZXYueG1sUEsFBgAAAAAEAAQA8wAAAKYFAAAA&#10;AA==&#10;" strokecolor="white [3212]" strokeweight="0">
          <v:textbox style="mso-next-textbox:#Text Box 12">
            <w:txbxContent>
              <w:p w14:paraId="7E497DEB" w14:textId="77777777" w:rsidR="000C106E" w:rsidRPr="00DC0099" w:rsidRDefault="000C106E" w:rsidP="009767C7">
                <w:pPr>
                  <w:jc w:val="center"/>
                  <w:rPr>
                    <w:sz w:val="12"/>
                    <w:szCs w:val="12"/>
                  </w:rPr>
                </w:pPr>
                <w:r w:rsidRPr="00DC0099">
                  <w:rPr>
                    <w:rFonts w:ascii="Times New Roman" w:hAnsi="Times New Roman" w:cs="Times New Roman"/>
                    <w:b/>
                    <w:sz w:val="12"/>
                    <w:szCs w:val="12"/>
                  </w:rPr>
                  <w:t>CENTRUL REGIONAL DE SĂNĂTATE PUBLICĂ CLUJ</w:t>
                </w:r>
              </w:p>
              <w:p w14:paraId="6470946F" w14:textId="77777777" w:rsidR="000C106E" w:rsidRPr="00DC0099" w:rsidRDefault="000C106E">
                <w:pPr>
                  <w:rPr>
                    <w:sz w:val="12"/>
                    <w:szCs w:val="12"/>
                  </w:rPr>
                </w:pPr>
              </w:p>
            </w:txbxContent>
          </v:textbox>
        </v:shape>
      </w:pict>
    </w:r>
    <w:r w:rsidR="00390B3A">
      <w:rPr>
        <w:noProof/>
        <w:lang w:eastAsia="ro-RO"/>
      </w:rPr>
      <w:pict w14:anchorId="72EDD07C">
        <v:shape id="Text Box 9" o:spid="_x0000_s2050" type="#_x0000_t202" style="position:absolute;left:0;text-align:left;margin-left:-37.85pt;margin-top:18.6pt;width:120.75pt;height:38.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MQAIAAIQEAAAOAAAAZHJzL2Uyb0RvYy54bWysVNtu3CAQfa/Uf0C8N95rkrXWG6WbpqqU&#10;XqSkH4AxtlGBocCunX59B9jdbpO3qn5ADJfDmXNmvL4ZtSJ74bwEU9HpxYQSYTg00nQV/f50/+6a&#10;Eh+YaZgCIyr6LDy92bx9sx5sKWbQg2qEIwhifDnYivYh2LIoPO+FZv4CrDC42YLTLGDouqJxbEB0&#10;rYrZZHJZDOAa64AL73H1Lm/STcJvW8HD17b1IhBVUeQW0ujSWMex2KxZ2Tlme8kPNNg/sNBMGnz0&#10;BHXHAiM7J19BackdeGjDBQddQNtKLlIOmM108iKbx55ZkXJBcbw9yeT/Hyz/sv/miGwqOqfEMI0W&#10;PYkxkPcwklVUZ7C+xEOPFo+FEZfR5ZSptw/Af3hiYNsz04lb52DoBWuQ3TTeLM6uZhwfQerhMzT4&#10;DNsFSEBj63SUDsUgiI4uPZ+ciVR4fHI5ny9nS0o47i1Ws6vLZF3ByuNt63z4KECTOKmoQ+cTOts/&#10;+BDZsPJ4JD7mQcnmXiqVAtfVW+XInmGV3KcvJfDimDJkiMxe34/VKk4IdZcVUjuNqWbU6SR+udxw&#10;HYsyrx/TSAUfIRLTv9hpGbBFlNQVvT5DiVJ/ME0q4MCkynNMU5mD9lHuLHwY6/HgZQ3NM7rgILcC&#10;ti5OenC/KBmwDSrqf+6YE5SoTwadXE0Xi9g3KVgsr2YYuPOd+nyHGY5QFQ2U5Ok25F7bWSe7Hl/K&#10;yhi4RfdbmYyJZZJZHXhjqScVDm0Ze+k8Tqf+/Dw2vwEAAP//AwBQSwMEFAAGAAgAAAAhAIxfTIHe&#10;AAAACgEAAA8AAABkcnMvZG93bnJldi54bWxMj01vgkAQhu9N+h8206Q3XaQiBFmMsfEHVDl4HNkR&#10;sPtB2FVof33Xk73NZJ6887zFZtKK3WlwnTUCFvMIGJnays40AqrjfpYBcx6NRGUNCfghB5vy9aXA&#10;XNrRfNH94BsWQozLUUDrfZ9z7uqWNLq57cmE28UOGn1Yh4bLAccQrhWPo2jFNXYmfGixp11L9ffh&#10;pgV8xuPuhHt1TbOqkmqLv9U1OQrx/jZt18A8Tf4Jw0M/qEMZnM72ZqRjSsAsTdKACvhIY2APYJWE&#10;LucwLJYZ8LLg/yuUfwAAAP//AwBQSwECLQAUAAYACAAAACEAtoM4kv4AAADhAQAAEwAAAAAAAAAA&#10;AAAAAAAAAAAAW0NvbnRlbnRfVHlwZXNdLnhtbFBLAQItABQABgAIAAAAIQA4/SH/1gAAAJQBAAAL&#10;AAAAAAAAAAAAAAAAAC8BAABfcmVscy8ucmVsc1BLAQItABQABgAIAAAAIQDU/JiMQAIAAIQEAAAO&#10;AAAAAAAAAAAAAAAAAC4CAABkcnMvZTJvRG9jLnhtbFBLAQItABQABgAIAAAAIQCMX0yB3gAAAAoB&#10;AAAPAAAAAAAAAAAAAAAAAJoEAABkcnMvZG93bnJldi54bWxQSwUGAAAAAAQABADzAAAApQUAAAAA&#10;" strokecolor="white [3212]" strokeweight="0">
          <v:textbox style="mso-next-textbox:#Text Box 9">
            <w:txbxContent>
              <w:p w14:paraId="3C61119F" w14:textId="77777777" w:rsidR="000C106E" w:rsidRPr="009D1856" w:rsidRDefault="000C106E" w:rsidP="009D1856">
                <w:pPr>
                  <w:spacing w:after="0" w:line="240" w:lineRule="auto"/>
                  <w:rPr>
                    <w:rFonts w:ascii="Times New Roman" w:hAnsi="Times New Roman" w:cs="Times New Roman"/>
                    <w:b/>
                    <w:sz w:val="16"/>
                    <w:szCs w:val="16"/>
                  </w:rPr>
                </w:pPr>
                <w:r w:rsidRPr="009D1856">
                  <w:rPr>
                    <w:rFonts w:ascii="Times New Roman" w:hAnsi="Times New Roman" w:cs="Times New Roman"/>
                    <w:b/>
                    <w:sz w:val="16"/>
                    <w:szCs w:val="16"/>
                  </w:rPr>
                  <w:t>MINISTERULSĂNĂTĂŢII</w:t>
                </w:r>
              </w:p>
            </w:txbxContent>
          </v:textbox>
        </v:shape>
      </w:pict>
    </w:r>
    <w:r>
      <w:rPr>
        <w:noProof/>
        <w:lang w:eastAsia="ro-RO"/>
      </w:rPr>
      <w:drawing>
        <wp:anchor distT="0" distB="0" distL="114300" distR="114300" simplePos="0" relativeHeight="251659264" behindDoc="0" locked="0" layoutInCell="1" allowOverlap="1" wp14:anchorId="31C096BC" wp14:editId="446389D5">
          <wp:simplePos x="0" y="0"/>
          <wp:positionH relativeFrom="column">
            <wp:posOffset>-128270</wp:posOffset>
          </wp:positionH>
          <wp:positionV relativeFrom="paragraph">
            <wp:posOffset>-420370</wp:posOffset>
          </wp:positionV>
          <wp:extent cx="648970" cy="647700"/>
          <wp:effectExtent l="0" t="0" r="0" b="0"/>
          <wp:wrapSquare wrapText="bothSides"/>
          <wp:docPr id="20" name="Picture 20" descr="Fișier:SIGLA GUVERNULUI 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5" name="Picture 7" descr="Fișier:SIGLA GUVERNULUI ROMÂNIEI.jpg"/>
                  <pic:cNvPicPr>
                    <a:picLocks noChangeAspect="1" noChangeArrowheads="1"/>
                  </pic:cNvPicPr>
                </pic:nvPicPr>
                <pic:blipFill>
                  <a:blip r:embed="rId4" cstate="print"/>
                  <a:srcRect/>
                  <a:stretch>
                    <a:fillRect/>
                  </a:stretch>
                </pic:blipFill>
                <pic:spPr bwMode="auto">
                  <a:xfrm>
                    <a:off x="0" y="0"/>
                    <a:ext cx="64897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7B"/>
    <w:multiLevelType w:val="hybridMultilevel"/>
    <w:tmpl w:val="E11A3062"/>
    <w:lvl w:ilvl="0" w:tplc="772652BA">
      <w:start w:val="1"/>
      <w:numFmt w:val="decimal"/>
      <w:lvlText w:val="3.%1"/>
      <w:lvlJc w:val="left"/>
      <w:pPr>
        <w:ind w:left="360" w:hanging="360"/>
      </w:pPr>
      <w:rPr>
        <w:rFonts w:hint="default"/>
      </w:rPr>
    </w:lvl>
    <w:lvl w:ilvl="1" w:tplc="04180019" w:tentative="1">
      <w:start w:val="1"/>
      <w:numFmt w:val="lowerLetter"/>
      <w:lvlText w:val="%2."/>
      <w:lvlJc w:val="left"/>
      <w:pPr>
        <w:ind w:left="971" w:hanging="360"/>
      </w:pPr>
    </w:lvl>
    <w:lvl w:ilvl="2" w:tplc="0418001B" w:tentative="1">
      <w:start w:val="1"/>
      <w:numFmt w:val="lowerRoman"/>
      <w:lvlText w:val="%3."/>
      <w:lvlJc w:val="right"/>
      <w:pPr>
        <w:ind w:left="1691" w:hanging="180"/>
      </w:pPr>
    </w:lvl>
    <w:lvl w:ilvl="3" w:tplc="0418000F" w:tentative="1">
      <w:start w:val="1"/>
      <w:numFmt w:val="decimal"/>
      <w:lvlText w:val="%4."/>
      <w:lvlJc w:val="left"/>
      <w:pPr>
        <w:ind w:left="2411" w:hanging="360"/>
      </w:pPr>
    </w:lvl>
    <w:lvl w:ilvl="4" w:tplc="04180019" w:tentative="1">
      <w:start w:val="1"/>
      <w:numFmt w:val="lowerLetter"/>
      <w:lvlText w:val="%5."/>
      <w:lvlJc w:val="left"/>
      <w:pPr>
        <w:ind w:left="3131" w:hanging="360"/>
      </w:pPr>
    </w:lvl>
    <w:lvl w:ilvl="5" w:tplc="0418001B" w:tentative="1">
      <w:start w:val="1"/>
      <w:numFmt w:val="lowerRoman"/>
      <w:lvlText w:val="%6."/>
      <w:lvlJc w:val="right"/>
      <w:pPr>
        <w:ind w:left="3851" w:hanging="180"/>
      </w:pPr>
    </w:lvl>
    <w:lvl w:ilvl="6" w:tplc="0418000F" w:tentative="1">
      <w:start w:val="1"/>
      <w:numFmt w:val="decimal"/>
      <w:lvlText w:val="%7."/>
      <w:lvlJc w:val="left"/>
      <w:pPr>
        <w:ind w:left="4571" w:hanging="360"/>
      </w:pPr>
    </w:lvl>
    <w:lvl w:ilvl="7" w:tplc="04180019" w:tentative="1">
      <w:start w:val="1"/>
      <w:numFmt w:val="lowerLetter"/>
      <w:lvlText w:val="%8."/>
      <w:lvlJc w:val="left"/>
      <w:pPr>
        <w:ind w:left="5291" w:hanging="360"/>
      </w:pPr>
    </w:lvl>
    <w:lvl w:ilvl="8" w:tplc="0418001B" w:tentative="1">
      <w:start w:val="1"/>
      <w:numFmt w:val="lowerRoman"/>
      <w:lvlText w:val="%9."/>
      <w:lvlJc w:val="right"/>
      <w:pPr>
        <w:ind w:left="6011" w:hanging="180"/>
      </w:pPr>
    </w:lvl>
  </w:abstractNum>
  <w:abstractNum w:abstractNumId="1">
    <w:nsid w:val="0287306C"/>
    <w:multiLevelType w:val="hybridMultilevel"/>
    <w:tmpl w:val="133888A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4A671F0"/>
    <w:multiLevelType w:val="hybridMultilevel"/>
    <w:tmpl w:val="C9C4E4D4"/>
    <w:lvl w:ilvl="0" w:tplc="4EE40AE8">
      <w:start w:val="1"/>
      <w:numFmt w:val="decimal"/>
      <w:lvlText w:val="1.%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99D0448"/>
    <w:multiLevelType w:val="hybridMultilevel"/>
    <w:tmpl w:val="F77A83D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9D865A4"/>
    <w:multiLevelType w:val="hybridMultilevel"/>
    <w:tmpl w:val="C7DCE6F8"/>
    <w:lvl w:ilvl="0" w:tplc="2AA8E730">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0F573258"/>
    <w:multiLevelType w:val="hybridMultilevel"/>
    <w:tmpl w:val="1A6E5F7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1D41F69"/>
    <w:multiLevelType w:val="hybridMultilevel"/>
    <w:tmpl w:val="28662B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123E7EFF"/>
    <w:multiLevelType w:val="hybridMultilevel"/>
    <w:tmpl w:val="623E65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F64174"/>
    <w:multiLevelType w:val="hybridMultilevel"/>
    <w:tmpl w:val="B7C0B52A"/>
    <w:lvl w:ilvl="0" w:tplc="918A0928">
      <w:start w:val="1"/>
      <w:numFmt w:val="upperRoman"/>
      <w:lvlText w:val="%1."/>
      <w:lvlJc w:val="left"/>
      <w:pPr>
        <w:ind w:left="720" w:hanging="72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166C6736"/>
    <w:multiLevelType w:val="hybridMultilevel"/>
    <w:tmpl w:val="901E64F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1A957F31"/>
    <w:multiLevelType w:val="hybridMultilevel"/>
    <w:tmpl w:val="5962A182"/>
    <w:lvl w:ilvl="0" w:tplc="4EE40AE8">
      <w:start w:val="1"/>
      <w:numFmt w:val="decimal"/>
      <w:lvlText w:val="1.%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EF02501"/>
    <w:multiLevelType w:val="hybridMultilevel"/>
    <w:tmpl w:val="C7325EAC"/>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07F52DC"/>
    <w:multiLevelType w:val="hybridMultilevel"/>
    <w:tmpl w:val="0AF81CD0"/>
    <w:lvl w:ilvl="0" w:tplc="005C3882">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482DF3"/>
    <w:multiLevelType w:val="hybridMultilevel"/>
    <w:tmpl w:val="E2E4C082"/>
    <w:lvl w:ilvl="0" w:tplc="6D141992">
      <w:start w:val="1"/>
      <w:numFmt w:val="decimal"/>
      <w:lvlText w:val="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3BC0DA4"/>
    <w:multiLevelType w:val="hybridMultilevel"/>
    <w:tmpl w:val="66487044"/>
    <w:lvl w:ilvl="0" w:tplc="83F00412">
      <w:start w:val="1"/>
      <w:numFmt w:val="decimal"/>
      <w:lvlText w:val="5.%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50D2823"/>
    <w:multiLevelType w:val="hybridMultilevel"/>
    <w:tmpl w:val="25BE607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72C0307"/>
    <w:multiLevelType w:val="hybridMultilevel"/>
    <w:tmpl w:val="90103EE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D9434F4"/>
    <w:multiLevelType w:val="hybridMultilevel"/>
    <w:tmpl w:val="A99C73B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2DDC14F3"/>
    <w:multiLevelType w:val="hybridMultilevel"/>
    <w:tmpl w:val="BDAC1EBE"/>
    <w:lvl w:ilvl="0" w:tplc="E5D0188A">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DEF5FAD"/>
    <w:multiLevelType w:val="multilevel"/>
    <w:tmpl w:val="8B0EFA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F951EC8"/>
    <w:multiLevelType w:val="hybridMultilevel"/>
    <w:tmpl w:val="900CA1CE"/>
    <w:lvl w:ilvl="0" w:tplc="015C83E0">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37447323"/>
    <w:multiLevelType w:val="hybridMultilevel"/>
    <w:tmpl w:val="BF34BC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3A575470"/>
    <w:multiLevelType w:val="hybridMultilevel"/>
    <w:tmpl w:val="DBEA5312"/>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3A7859C9"/>
    <w:multiLevelType w:val="hybridMultilevel"/>
    <w:tmpl w:val="6182541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3DA34FBB"/>
    <w:multiLevelType w:val="hybridMultilevel"/>
    <w:tmpl w:val="6D2EECC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3EC84273"/>
    <w:multiLevelType w:val="hybridMultilevel"/>
    <w:tmpl w:val="E22437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F862D09"/>
    <w:multiLevelType w:val="hybridMultilevel"/>
    <w:tmpl w:val="D070DF5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3490C0D"/>
    <w:multiLevelType w:val="multilevel"/>
    <w:tmpl w:val="8B0EFA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45AF0052"/>
    <w:multiLevelType w:val="hybridMultilevel"/>
    <w:tmpl w:val="FDF8B17C"/>
    <w:lvl w:ilvl="0" w:tplc="E5D0188A">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E7F2D02"/>
    <w:multiLevelType w:val="hybridMultilevel"/>
    <w:tmpl w:val="25987D0E"/>
    <w:lvl w:ilvl="0" w:tplc="005C3882">
      <w:start w:val="1"/>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55E612C7"/>
    <w:multiLevelType w:val="hybridMultilevel"/>
    <w:tmpl w:val="EB7EE00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5907300A"/>
    <w:multiLevelType w:val="hybridMultilevel"/>
    <w:tmpl w:val="2C2C1CFA"/>
    <w:lvl w:ilvl="0" w:tplc="E5D0188A">
      <w:start w:val="1"/>
      <w:numFmt w:val="decimal"/>
      <w:lvlText w:val="5.%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5AE26417"/>
    <w:multiLevelType w:val="hybridMultilevel"/>
    <w:tmpl w:val="99A032D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0851F71"/>
    <w:multiLevelType w:val="hybridMultilevel"/>
    <w:tmpl w:val="D35E6FD0"/>
    <w:lvl w:ilvl="0" w:tplc="4EE40AE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0A4415B"/>
    <w:multiLevelType w:val="multilevel"/>
    <w:tmpl w:val="003EC7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DE631B"/>
    <w:multiLevelType w:val="hybridMultilevel"/>
    <w:tmpl w:val="BA70E474"/>
    <w:lvl w:ilvl="0" w:tplc="0418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nsid w:val="61F244E4"/>
    <w:multiLevelType w:val="hybridMultilevel"/>
    <w:tmpl w:val="697E6046"/>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627560E3"/>
    <w:multiLevelType w:val="hybridMultilevel"/>
    <w:tmpl w:val="75E689A8"/>
    <w:lvl w:ilvl="0" w:tplc="BA889D80">
      <w:start w:val="1"/>
      <w:numFmt w:val="decimal"/>
      <w:lvlText w:val="4.%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2981E4A"/>
    <w:multiLevelType w:val="hybridMultilevel"/>
    <w:tmpl w:val="594C441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2CD2A93"/>
    <w:multiLevelType w:val="hybridMultilevel"/>
    <w:tmpl w:val="2822E612"/>
    <w:lvl w:ilvl="0" w:tplc="BA889D80">
      <w:start w:val="1"/>
      <w:numFmt w:val="decimal"/>
      <w:lvlText w:val="4.%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36D247E"/>
    <w:multiLevelType w:val="hybridMultilevel"/>
    <w:tmpl w:val="6922DE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466768C"/>
    <w:multiLevelType w:val="multilevel"/>
    <w:tmpl w:val="62C0B4B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65B7ACB"/>
    <w:multiLevelType w:val="hybridMultilevel"/>
    <w:tmpl w:val="13085D80"/>
    <w:lvl w:ilvl="0" w:tplc="6D141992">
      <w:start w:val="1"/>
      <w:numFmt w:val="decimal"/>
      <w:lvlText w:val="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8DA364D"/>
    <w:multiLevelType w:val="hybridMultilevel"/>
    <w:tmpl w:val="98C8CB1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FDC1270"/>
    <w:multiLevelType w:val="hybridMultilevel"/>
    <w:tmpl w:val="92CE96F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7"/>
  </w:num>
  <w:num w:numId="3">
    <w:abstractNumId w:val="27"/>
  </w:num>
  <w:num w:numId="4">
    <w:abstractNumId w:val="10"/>
  </w:num>
  <w:num w:numId="5">
    <w:abstractNumId w:val="24"/>
  </w:num>
  <w:num w:numId="6">
    <w:abstractNumId w:val="40"/>
  </w:num>
  <w:num w:numId="7">
    <w:abstractNumId w:val="16"/>
  </w:num>
  <w:num w:numId="8">
    <w:abstractNumId w:val="34"/>
  </w:num>
  <w:num w:numId="9">
    <w:abstractNumId w:val="2"/>
  </w:num>
  <w:num w:numId="10">
    <w:abstractNumId w:val="33"/>
  </w:num>
  <w:num w:numId="11">
    <w:abstractNumId w:val="38"/>
  </w:num>
  <w:num w:numId="12">
    <w:abstractNumId w:val="9"/>
  </w:num>
  <w:num w:numId="13">
    <w:abstractNumId w:val="15"/>
  </w:num>
  <w:num w:numId="14">
    <w:abstractNumId w:val="22"/>
  </w:num>
  <w:num w:numId="15">
    <w:abstractNumId w:val="3"/>
  </w:num>
  <w:num w:numId="16">
    <w:abstractNumId w:val="35"/>
  </w:num>
  <w:num w:numId="17">
    <w:abstractNumId w:val="26"/>
  </w:num>
  <w:num w:numId="18">
    <w:abstractNumId w:val="19"/>
  </w:num>
  <w:num w:numId="19">
    <w:abstractNumId w:val="13"/>
  </w:num>
  <w:num w:numId="20">
    <w:abstractNumId w:val="42"/>
  </w:num>
  <w:num w:numId="21">
    <w:abstractNumId w:val="0"/>
  </w:num>
  <w:num w:numId="22">
    <w:abstractNumId w:val="37"/>
  </w:num>
  <w:num w:numId="23">
    <w:abstractNumId w:val="39"/>
  </w:num>
  <w:num w:numId="24">
    <w:abstractNumId w:val="17"/>
  </w:num>
  <w:num w:numId="25">
    <w:abstractNumId w:val="1"/>
  </w:num>
  <w:num w:numId="26">
    <w:abstractNumId w:val="8"/>
  </w:num>
  <w:num w:numId="27">
    <w:abstractNumId w:val="21"/>
  </w:num>
  <w:num w:numId="28">
    <w:abstractNumId w:val="31"/>
  </w:num>
  <w:num w:numId="29">
    <w:abstractNumId w:val="20"/>
  </w:num>
  <w:num w:numId="30">
    <w:abstractNumId w:val="30"/>
  </w:num>
  <w:num w:numId="31">
    <w:abstractNumId w:val="5"/>
  </w:num>
  <w:num w:numId="32">
    <w:abstractNumId w:val="4"/>
  </w:num>
  <w:num w:numId="33">
    <w:abstractNumId w:val="29"/>
  </w:num>
  <w:num w:numId="34">
    <w:abstractNumId w:val="32"/>
  </w:num>
  <w:num w:numId="35">
    <w:abstractNumId w:val="43"/>
  </w:num>
  <w:num w:numId="36">
    <w:abstractNumId w:val="12"/>
  </w:num>
  <w:num w:numId="37">
    <w:abstractNumId w:val="25"/>
  </w:num>
  <w:num w:numId="38">
    <w:abstractNumId w:val="23"/>
  </w:num>
  <w:num w:numId="39">
    <w:abstractNumId w:val="44"/>
  </w:num>
  <w:num w:numId="40">
    <w:abstractNumId w:val="11"/>
  </w:num>
  <w:num w:numId="41">
    <w:abstractNumId w:val="14"/>
  </w:num>
  <w:num w:numId="42">
    <w:abstractNumId w:val="41"/>
  </w:num>
  <w:num w:numId="43">
    <w:abstractNumId w:val="36"/>
  </w:num>
  <w:num w:numId="44">
    <w:abstractNumId w:val="2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5ED0"/>
    <w:rsid w:val="00001B20"/>
    <w:rsid w:val="00005F57"/>
    <w:rsid w:val="000060B7"/>
    <w:rsid w:val="00006844"/>
    <w:rsid w:val="0000693E"/>
    <w:rsid w:val="00011B88"/>
    <w:rsid w:val="00012AE8"/>
    <w:rsid w:val="00014418"/>
    <w:rsid w:val="00020EA6"/>
    <w:rsid w:val="00021EC1"/>
    <w:rsid w:val="00027C3A"/>
    <w:rsid w:val="000360ED"/>
    <w:rsid w:val="000368BA"/>
    <w:rsid w:val="000426CC"/>
    <w:rsid w:val="00054156"/>
    <w:rsid w:val="000551A3"/>
    <w:rsid w:val="00055280"/>
    <w:rsid w:val="00056F8C"/>
    <w:rsid w:val="00064492"/>
    <w:rsid w:val="00067148"/>
    <w:rsid w:val="00074F11"/>
    <w:rsid w:val="000817C6"/>
    <w:rsid w:val="00081F9A"/>
    <w:rsid w:val="00087A27"/>
    <w:rsid w:val="0009374B"/>
    <w:rsid w:val="00095FCA"/>
    <w:rsid w:val="00096A79"/>
    <w:rsid w:val="000A03D2"/>
    <w:rsid w:val="000A21A8"/>
    <w:rsid w:val="000A2787"/>
    <w:rsid w:val="000A6BC5"/>
    <w:rsid w:val="000B57A1"/>
    <w:rsid w:val="000B5977"/>
    <w:rsid w:val="000B5D9E"/>
    <w:rsid w:val="000B72EF"/>
    <w:rsid w:val="000C0EBD"/>
    <w:rsid w:val="000C106E"/>
    <w:rsid w:val="000E5D3E"/>
    <w:rsid w:val="000F05CC"/>
    <w:rsid w:val="000F064F"/>
    <w:rsid w:val="000F1494"/>
    <w:rsid w:val="000F64D8"/>
    <w:rsid w:val="001018B6"/>
    <w:rsid w:val="00110268"/>
    <w:rsid w:val="00112D35"/>
    <w:rsid w:val="00115565"/>
    <w:rsid w:val="00123CDC"/>
    <w:rsid w:val="001240CA"/>
    <w:rsid w:val="00124BA0"/>
    <w:rsid w:val="0012555D"/>
    <w:rsid w:val="0013052F"/>
    <w:rsid w:val="0013353F"/>
    <w:rsid w:val="00142C2F"/>
    <w:rsid w:val="00146E61"/>
    <w:rsid w:val="00155077"/>
    <w:rsid w:val="00157B3D"/>
    <w:rsid w:val="001632DA"/>
    <w:rsid w:val="00163412"/>
    <w:rsid w:val="001637CB"/>
    <w:rsid w:val="00167629"/>
    <w:rsid w:val="00170F5D"/>
    <w:rsid w:val="00173998"/>
    <w:rsid w:val="00173B65"/>
    <w:rsid w:val="00181FA0"/>
    <w:rsid w:val="001904A7"/>
    <w:rsid w:val="00194074"/>
    <w:rsid w:val="00195B03"/>
    <w:rsid w:val="00195CE9"/>
    <w:rsid w:val="001A029B"/>
    <w:rsid w:val="001A600C"/>
    <w:rsid w:val="001B1238"/>
    <w:rsid w:val="001B2124"/>
    <w:rsid w:val="001B3EF1"/>
    <w:rsid w:val="001B4D48"/>
    <w:rsid w:val="001B6A5D"/>
    <w:rsid w:val="001C1BE0"/>
    <w:rsid w:val="001C2605"/>
    <w:rsid w:val="001C4504"/>
    <w:rsid w:val="001C462A"/>
    <w:rsid w:val="001D4762"/>
    <w:rsid w:val="001E00EB"/>
    <w:rsid w:val="001E0C83"/>
    <w:rsid w:val="001E5FB0"/>
    <w:rsid w:val="001E71F6"/>
    <w:rsid w:val="001E7E16"/>
    <w:rsid w:val="001F5ED0"/>
    <w:rsid w:val="002013B5"/>
    <w:rsid w:val="002040C0"/>
    <w:rsid w:val="00211700"/>
    <w:rsid w:val="00212667"/>
    <w:rsid w:val="00216930"/>
    <w:rsid w:val="0022614A"/>
    <w:rsid w:val="00230B52"/>
    <w:rsid w:val="0023450F"/>
    <w:rsid w:val="00236D7A"/>
    <w:rsid w:val="00241DA0"/>
    <w:rsid w:val="0024705A"/>
    <w:rsid w:val="002508F2"/>
    <w:rsid w:val="0025332B"/>
    <w:rsid w:val="00257B2A"/>
    <w:rsid w:val="00263370"/>
    <w:rsid w:val="0027252B"/>
    <w:rsid w:val="00274299"/>
    <w:rsid w:val="00274941"/>
    <w:rsid w:val="002771B4"/>
    <w:rsid w:val="002906F6"/>
    <w:rsid w:val="00297F9C"/>
    <w:rsid w:val="002A127C"/>
    <w:rsid w:val="002B6A05"/>
    <w:rsid w:val="002B6AAF"/>
    <w:rsid w:val="002D3618"/>
    <w:rsid w:val="002D43E7"/>
    <w:rsid w:val="002E13F9"/>
    <w:rsid w:val="002E5C81"/>
    <w:rsid w:val="002E6C95"/>
    <w:rsid w:val="002E7521"/>
    <w:rsid w:val="002F0DD8"/>
    <w:rsid w:val="002F2004"/>
    <w:rsid w:val="002F2F05"/>
    <w:rsid w:val="002F361A"/>
    <w:rsid w:val="0030193A"/>
    <w:rsid w:val="00302AEF"/>
    <w:rsid w:val="0031449E"/>
    <w:rsid w:val="003144C7"/>
    <w:rsid w:val="00314531"/>
    <w:rsid w:val="00324D97"/>
    <w:rsid w:val="00325045"/>
    <w:rsid w:val="00325912"/>
    <w:rsid w:val="00326546"/>
    <w:rsid w:val="00333153"/>
    <w:rsid w:val="003339F4"/>
    <w:rsid w:val="00337BBC"/>
    <w:rsid w:val="003410D7"/>
    <w:rsid w:val="003418A6"/>
    <w:rsid w:val="00342D11"/>
    <w:rsid w:val="003460B7"/>
    <w:rsid w:val="00355817"/>
    <w:rsid w:val="00356D9D"/>
    <w:rsid w:val="003638D0"/>
    <w:rsid w:val="00377A2C"/>
    <w:rsid w:val="00383918"/>
    <w:rsid w:val="00385642"/>
    <w:rsid w:val="00390B3A"/>
    <w:rsid w:val="0039328B"/>
    <w:rsid w:val="00395A54"/>
    <w:rsid w:val="003A3B69"/>
    <w:rsid w:val="003A5649"/>
    <w:rsid w:val="003A70C3"/>
    <w:rsid w:val="003B2F38"/>
    <w:rsid w:val="003B500D"/>
    <w:rsid w:val="003C1C29"/>
    <w:rsid w:val="003C3116"/>
    <w:rsid w:val="003C46F8"/>
    <w:rsid w:val="003C4B13"/>
    <w:rsid w:val="003C5C02"/>
    <w:rsid w:val="003D676B"/>
    <w:rsid w:val="003D75E5"/>
    <w:rsid w:val="003E2049"/>
    <w:rsid w:val="003E20D1"/>
    <w:rsid w:val="003E441B"/>
    <w:rsid w:val="003E47AD"/>
    <w:rsid w:val="003E6058"/>
    <w:rsid w:val="003F00BB"/>
    <w:rsid w:val="003F0A14"/>
    <w:rsid w:val="003F3960"/>
    <w:rsid w:val="003F74DC"/>
    <w:rsid w:val="00403129"/>
    <w:rsid w:val="00404CB5"/>
    <w:rsid w:val="004116EB"/>
    <w:rsid w:val="00413DC7"/>
    <w:rsid w:val="00414B28"/>
    <w:rsid w:val="00414DC5"/>
    <w:rsid w:val="004265CD"/>
    <w:rsid w:val="00427BB6"/>
    <w:rsid w:val="00433A61"/>
    <w:rsid w:val="004349E2"/>
    <w:rsid w:val="00434B47"/>
    <w:rsid w:val="00435CD2"/>
    <w:rsid w:val="0044320D"/>
    <w:rsid w:val="004468FE"/>
    <w:rsid w:val="00447D9C"/>
    <w:rsid w:val="00455A99"/>
    <w:rsid w:val="00460B00"/>
    <w:rsid w:val="00462A39"/>
    <w:rsid w:val="00462A8A"/>
    <w:rsid w:val="00463FEE"/>
    <w:rsid w:val="00473474"/>
    <w:rsid w:val="0047489F"/>
    <w:rsid w:val="00476FD8"/>
    <w:rsid w:val="00483EEF"/>
    <w:rsid w:val="004926C2"/>
    <w:rsid w:val="00493C8D"/>
    <w:rsid w:val="0049666C"/>
    <w:rsid w:val="004A1627"/>
    <w:rsid w:val="004A4382"/>
    <w:rsid w:val="004B6DB6"/>
    <w:rsid w:val="004B6FED"/>
    <w:rsid w:val="004C1E30"/>
    <w:rsid w:val="004C2F96"/>
    <w:rsid w:val="004C3C0E"/>
    <w:rsid w:val="004C4082"/>
    <w:rsid w:val="004C6C26"/>
    <w:rsid w:val="004D4253"/>
    <w:rsid w:val="004E2770"/>
    <w:rsid w:val="004E2A09"/>
    <w:rsid w:val="004E483A"/>
    <w:rsid w:val="004E6D68"/>
    <w:rsid w:val="0050494D"/>
    <w:rsid w:val="00504EB1"/>
    <w:rsid w:val="005121FC"/>
    <w:rsid w:val="00513178"/>
    <w:rsid w:val="00520464"/>
    <w:rsid w:val="00524A08"/>
    <w:rsid w:val="00524FF5"/>
    <w:rsid w:val="00526276"/>
    <w:rsid w:val="0052681B"/>
    <w:rsid w:val="00530299"/>
    <w:rsid w:val="0053218B"/>
    <w:rsid w:val="005326A1"/>
    <w:rsid w:val="00532E00"/>
    <w:rsid w:val="00534669"/>
    <w:rsid w:val="00536BF1"/>
    <w:rsid w:val="00541754"/>
    <w:rsid w:val="00544BAE"/>
    <w:rsid w:val="005465D6"/>
    <w:rsid w:val="00553A85"/>
    <w:rsid w:val="00554864"/>
    <w:rsid w:val="00557012"/>
    <w:rsid w:val="00565EC1"/>
    <w:rsid w:val="0057327C"/>
    <w:rsid w:val="00573A4D"/>
    <w:rsid w:val="00573F21"/>
    <w:rsid w:val="005778DD"/>
    <w:rsid w:val="00580382"/>
    <w:rsid w:val="00584E48"/>
    <w:rsid w:val="00585020"/>
    <w:rsid w:val="00585F95"/>
    <w:rsid w:val="005A08AB"/>
    <w:rsid w:val="005A16C1"/>
    <w:rsid w:val="005B0329"/>
    <w:rsid w:val="005B5890"/>
    <w:rsid w:val="005C1EA6"/>
    <w:rsid w:val="005C39E7"/>
    <w:rsid w:val="005C4C23"/>
    <w:rsid w:val="005D6DB2"/>
    <w:rsid w:val="005D7D9E"/>
    <w:rsid w:val="005E53BA"/>
    <w:rsid w:val="005F21D3"/>
    <w:rsid w:val="005F266F"/>
    <w:rsid w:val="005F3653"/>
    <w:rsid w:val="005F367C"/>
    <w:rsid w:val="005F4F59"/>
    <w:rsid w:val="005F6ED9"/>
    <w:rsid w:val="00610EE4"/>
    <w:rsid w:val="00612617"/>
    <w:rsid w:val="00616B03"/>
    <w:rsid w:val="00616EA7"/>
    <w:rsid w:val="00622F37"/>
    <w:rsid w:val="00626627"/>
    <w:rsid w:val="006267F1"/>
    <w:rsid w:val="00626B3E"/>
    <w:rsid w:val="00633C64"/>
    <w:rsid w:val="00634AB8"/>
    <w:rsid w:val="006401B0"/>
    <w:rsid w:val="00641B17"/>
    <w:rsid w:val="0064200A"/>
    <w:rsid w:val="00645F09"/>
    <w:rsid w:val="00651DB3"/>
    <w:rsid w:val="00660D53"/>
    <w:rsid w:val="0066140B"/>
    <w:rsid w:val="00661649"/>
    <w:rsid w:val="00661DCC"/>
    <w:rsid w:val="006654C2"/>
    <w:rsid w:val="00670079"/>
    <w:rsid w:val="00676683"/>
    <w:rsid w:val="00680A30"/>
    <w:rsid w:val="006829A0"/>
    <w:rsid w:val="0068419B"/>
    <w:rsid w:val="006841E1"/>
    <w:rsid w:val="00684E64"/>
    <w:rsid w:val="0069100B"/>
    <w:rsid w:val="00691141"/>
    <w:rsid w:val="006916ED"/>
    <w:rsid w:val="00697FCA"/>
    <w:rsid w:val="006A43F1"/>
    <w:rsid w:val="006A7CD2"/>
    <w:rsid w:val="006B6F1B"/>
    <w:rsid w:val="006C3817"/>
    <w:rsid w:val="006C544A"/>
    <w:rsid w:val="006D0486"/>
    <w:rsid w:val="006D491F"/>
    <w:rsid w:val="006E0BC8"/>
    <w:rsid w:val="006E55D7"/>
    <w:rsid w:val="00702A5B"/>
    <w:rsid w:val="00703E13"/>
    <w:rsid w:val="00721C28"/>
    <w:rsid w:val="00723E32"/>
    <w:rsid w:val="0072666F"/>
    <w:rsid w:val="00730093"/>
    <w:rsid w:val="007313AF"/>
    <w:rsid w:val="00733D21"/>
    <w:rsid w:val="007364FA"/>
    <w:rsid w:val="00741C70"/>
    <w:rsid w:val="00743DED"/>
    <w:rsid w:val="0075038E"/>
    <w:rsid w:val="007601F6"/>
    <w:rsid w:val="00763A49"/>
    <w:rsid w:val="0077415F"/>
    <w:rsid w:val="00775A2C"/>
    <w:rsid w:val="00776675"/>
    <w:rsid w:val="00776C90"/>
    <w:rsid w:val="00777934"/>
    <w:rsid w:val="0078084E"/>
    <w:rsid w:val="00784B83"/>
    <w:rsid w:val="00785E70"/>
    <w:rsid w:val="00792C18"/>
    <w:rsid w:val="00792DD8"/>
    <w:rsid w:val="00795D24"/>
    <w:rsid w:val="007A0EE8"/>
    <w:rsid w:val="007A2447"/>
    <w:rsid w:val="007A68F2"/>
    <w:rsid w:val="007B2BB3"/>
    <w:rsid w:val="007B4066"/>
    <w:rsid w:val="007B5514"/>
    <w:rsid w:val="007C03AA"/>
    <w:rsid w:val="007C0838"/>
    <w:rsid w:val="007C2D02"/>
    <w:rsid w:val="007C7A25"/>
    <w:rsid w:val="007D7A4F"/>
    <w:rsid w:val="007E0337"/>
    <w:rsid w:val="007E168F"/>
    <w:rsid w:val="007F25B0"/>
    <w:rsid w:val="007F52F7"/>
    <w:rsid w:val="007F62A8"/>
    <w:rsid w:val="007F6DD2"/>
    <w:rsid w:val="007F75EE"/>
    <w:rsid w:val="00810ADE"/>
    <w:rsid w:val="00816985"/>
    <w:rsid w:val="00821422"/>
    <w:rsid w:val="00822877"/>
    <w:rsid w:val="008236FA"/>
    <w:rsid w:val="008278D7"/>
    <w:rsid w:val="008308B3"/>
    <w:rsid w:val="00831F89"/>
    <w:rsid w:val="0083678F"/>
    <w:rsid w:val="00841AC8"/>
    <w:rsid w:val="008455AF"/>
    <w:rsid w:val="008502ED"/>
    <w:rsid w:val="008653F2"/>
    <w:rsid w:val="00870A60"/>
    <w:rsid w:val="00873A84"/>
    <w:rsid w:val="00873B45"/>
    <w:rsid w:val="00875219"/>
    <w:rsid w:val="0087736E"/>
    <w:rsid w:val="008821C3"/>
    <w:rsid w:val="0088230D"/>
    <w:rsid w:val="008831CC"/>
    <w:rsid w:val="00883CB1"/>
    <w:rsid w:val="008866A8"/>
    <w:rsid w:val="00895360"/>
    <w:rsid w:val="00895767"/>
    <w:rsid w:val="008A3B88"/>
    <w:rsid w:val="008A5DA2"/>
    <w:rsid w:val="008A5FDE"/>
    <w:rsid w:val="008A5FF5"/>
    <w:rsid w:val="008A71DF"/>
    <w:rsid w:val="008B3F7C"/>
    <w:rsid w:val="008B71D2"/>
    <w:rsid w:val="008C0EA2"/>
    <w:rsid w:val="008C1289"/>
    <w:rsid w:val="008C252F"/>
    <w:rsid w:val="008D1A27"/>
    <w:rsid w:val="008D33F0"/>
    <w:rsid w:val="008D44B6"/>
    <w:rsid w:val="008D4670"/>
    <w:rsid w:val="008E394B"/>
    <w:rsid w:val="008E5517"/>
    <w:rsid w:val="008E5E98"/>
    <w:rsid w:val="008E7B57"/>
    <w:rsid w:val="008F085D"/>
    <w:rsid w:val="008F2DC9"/>
    <w:rsid w:val="00903FF7"/>
    <w:rsid w:val="009076AB"/>
    <w:rsid w:val="009079BE"/>
    <w:rsid w:val="009178E8"/>
    <w:rsid w:val="009210D1"/>
    <w:rsid w:val="009312E2"/>
    <w:rsid w:val="00943D82"/>
    <w:rsid w:val="00947193"/>
    <w:rsid w:val="009520C3"/>
    <w:rsid w:val="00954487"/>
    <w:rsid w:val="009552AD"/>
    <w:rsid w:val="00960278"/>
    <w:rsid w:val="009608B8"/>
    <w:rsid w:val="00965F77"/>
    <w:rsid w:val="009767C7"/>
    <w:rsid w:val="0098069F"/>
    <w:rsid w:val="00984ECC"/>
    <w:rsid w:val="009853BF"/>
    <w:rsid w:val="00992F93"/>
    <w:rsid w:val="009933B4"/>
    <w:rsid w:val="009A4EE6"/>
    <w:rsid w:val="009A53B0"/>
    <w:rsid w:val="009A7131"/>
    <w:rsid w:val="009B348F"/>
    <w:rsid w:val="009B44C2"/>
    <w:rsid w:val="009B59AC"/>
    <w:rsid w:val="009C0D9C"/>
    <w:rsid w:val="009C2B37"/>
    <w:rsid w:val="009D1856"/>
    <w:rsid w:val="009D33A7"/>
    <w:rsid w:val="009D5E97"/>
    <w:rsid w:val="009E1ECB"/>
    <w:rsid w:val="009E34F1"/>
    <w:rsid w:val="009E4B9A"/>
    <w:rsid w:val="009E4C29"/>
    <w:rsid w:val="009E4D0E"/>
    <w:rsid w:val="009E6129"/>
    <w:rsid w:val="009E6A5D"/>
    <w:rsid w:val="009F4659"/>
    <w:rsid w:val="009F79E1"/>
    <w:rsid w:val="009F7B4B"/>
    <w:rsid w:val="00A032B6"/>
    <w:rsid w:val="00A04484"/>
    <w:rsid w:val="00A06361"/>
    <w:rsid w:val="00A068A1"/>
    <w:rsid w:val="00A114CD"/>
    <w:rsid w:val="00A14C94"/>
    <w:rsid w:val="00A36583"/>
    <w:rsid w:val="00A368FD"/>
    <w:rsid w:val="00A408ED"/>
    <w:rsid w:val="00A40A04"/>
    <w:rsid w:val="00A42953"/>
    <w:rsid w:val="00A43FCA"/>
    <w:rsid w:val="00A44E51"/>
    <w:rsid w:val="00A526AA"/>
    <w:rsid w:val="00A52CA4"/>
    <w:rsid w:val="00A53C75"/>
    <w:rsid w:val="00A54D60"/>
    <w:rsid w:val="00A579F7"/>
    <w:rsid w:val="00A6074D"/>
    <w:rsid w:val="00A6145D"/>
    <w:rsid w:val="00A76DE1"/>
    <w:rsid w:val="00A805D0"/>
    <w:rsid w:val="00A860B9"/>
    <w:rsid w:val="00A8699F"/>
    <w:rsid w:val="00A86C2E"/>
    <w:rsid w:val="00A96E02"/>
    <w:rsid w:val="00AA0D9D"/>
    <w:rsid w:val="00AB4310"/>
    <w:rsid w:val="00AC03AA"/>
    <w:rsid w:val="00AC0555"/>
    <w:rsid w:val="00AC25D6"/>
    <w:rsid w:val="00AC56F0"/>
    <w:rsid w:val="00AD33EA"/>
    <w:rsid w:val="00AD60D2"/>
    <w:rsid w:val="00AE2D88"/>
    <w:rsid w:val="00AE77BD"/>
    <w:rsid w:val="00AF336D"/>
    <w:rsid w:val="00B003DD"/>
    <w:rsid w:val="00B0340E"/>
    <w:rsid w:val="00B04B0F"/>
    <w:rsid w:val="00B062B2"/>
    <w:rsid w:val="00B06F7D"/>
    <w:rsid w:val="00B22255"/>
    <w:rsid w:val="00B22BB3"/>
    <w:rsid w:val="00B239E6"/>
    <w:rsid w:val="00B25CB0"/>
    <w:rsid w:val="00B303DC"/>
    <w:rsid w:val="00B30C89"/>
    <w:rsid w:val="00B33336"/>
    <w:rsid w:val="00B33683"/>
    <w:rsid w:val="00B40ECA"/>
    <w:rsid w:val="00B42737"/>
    <w:rsid w:val="00B42B02"/>
    <w:rsid w:val="00B42B94"/>
    <w:rsid w:val="00B44B90"/>
    <w:rsid w:val="00B471D3"/>
    <w:rsid w:val="00B47671"/>
    <w:rsid w:val="00B51CC4"/>
    <w:rsid w:val="00B54543"/>
    <w:rsid w:val="00B54A7F"/>
    <w:rsid w:val="00B54D9C"/>
    <w:rsid w:val="00B55015"/>
    <w:rsid w:val="00B574D3"/>
    <w:rsid w:val="00B61CA7"/>
    <w:rsid w:val="00B652B0"/>
    <w:rsid w:val="00B76F61"/>
    <w:rsid w:val="00B77801"/>
    <w:rsid w:val="00B80564"/>
    <w:rsid w:val="00B846B2"/>
    <w:rsid w:val="00B8671A"/>
    <w:rsid w:val="00B939BD"/>
    <w:rsid w:val="00B97A86"/>
    <w:rsid w:val="00BA0FE2"/>
    <w:rsid w:val="00BA3CAC"/>
    <w:rsid w:val="00BB0087"/>
    <w:rsid w:val="00BB2F3A"/>
    <w:rsid w:val="00BC6556"/>
    <w:rsid w:val="00BC758C"/>
    <w:rsid w:val="00BC7A05"/>
    <w:rsid w:val="00BD0C13"/>
    <w:rsid w:val="00BD1DA2"/>
    <w:rsid w:val="00BD3854"/>
    <w:rsid w:val="00BD7BB8"/>
    <w:rsid w:val="00BE36C0"/>
    <w:rsid w:val="00BE403E"/>
    <w:rsid w:val="00BE6BD6"/>
    <w:rsid w:val="00BF0B5A"/>
    <w:rsid w:val="00BF1097"/>
    <w:rsid w:val="00BF214B"/>
    <w:rsid w:val="00BF4BC6"/>
    <w:rsid w:val="00BF584E"/>
    <w:rsid w:val="00BF6E09"/>
    <w:rsid w:val="00BF7E7A"/>
    <w:rsid w:val="00C00C95"/>
    <w:rsid w:val="00C02496"/>
    <w:rsid w:val="00C03729"/>
    <w:rsid w:val="00C0637C"/>
    <w:rsid w:val="00C06AEE"/>
    <w:rsid w:val="00C07233"/>
    <w:rsid w:val="00C07861"/>
    <w:rsid w:val="00C07AE0"/>
    <w:rsid w:val="00C1139A"/>
    <w:rsid w:val="00C12877"/>
    <w:rsid w:val="00C1492C"/>
    <w:rsid w:val="00C22E8E"/>
    <w:rsid w:val="00C34A2F"/>
    <w:rsid w:val="00C43818"/>
    <w:rsid w:val="00C46184"/>
    <w:rsid w:val="00C47EEC"/>
    <w:rsid w:val="00C510DC"/>
    <w:rsid w:val="00C51714"/>
    <w:rsid w:val="00C5521A"/>
    <w:rsid w:val="00C57441"/>
    <w:rsid w:val="00C612D4"/>
    <w:rsid w:val="00C62908"/>
    <w:rsid w:val="00C62B07"/>
    <w:rsid w:val="00C65D33"/>
    <w:rsid w:val="00C65E76"/>
    <w:rsid w:val="00C67D30"/>
    <w:rsid w:val="00C705C8"/>
    <w:rsid w:val="00C70870"/>
    <w:rsid w:val="00C708CB"/>
    <w:rsid w:val="00C747B6"/>
    <w:rsid w:val="00C87480"/>
    <w:rsid w:val="00C90AC3"/>
    <w:rsid w:val="00C95664"/>
    <w:rsid w:val="00CA7684"/>
    <w:rsid w:val="00CB45C9"/>
    <w:rsid w:val="00CB4616"/>
    <w:rsid w:val="00CC0BCB"/>
    <w:rsid w:val="00CC321A"/>
    <w:rsid w:val="00CC609D"/>
    <w:rsid w:val="00CC7B48"/>
    <w:rsid w:val="00CD0C2E"/>
    <w:rsid w:val="00CD2822"/>
    <w:rsid w:val="00CD460D"/>
    <w:rsid w:val="00CD6936"/>
    <w:rsid w:val="00CF5494"/>
    <w:rsid w:val="00CF6F01"/>
    <w:rsid w:val="00D12B4A"/>
    <w:rsid w:val="00D12F10"/>
    <w:rsid w:val="00D137DE"/>
    <w:rsid w:val="00D36DE2"/>
    <w:rsid w:val="00D3707E"/>
    <w:rsid w:val="00D41B03"/>
    <w:rsid w:val="00D41C22"/>
    <w:rsid w:val="00D42B67"/>
    <w:rsid w:val="00D434D6"/>
    <w:rsid w:val="00D47DF9"/>
    <w:rsid w:val="00D50E6D"/>
    <w:rsid w:val="00D52BA4"/>
    <w:rsid w:val="00D54513"/>
    <w:rsid w:val="00D554FB"/>
    <w:rsid w:val="00D559B7"/>
    <w:rsid w:val="00D5636B"/>
    <w:rsid w:val="00D5790C"/>
    <w:rsid w:val="00D62630"/>
    <w:rsid w:val="00D64C26"/>
    <w:rsid w:val="00D71DEA"/>
    <w:rsid w:val="00D72AE7"/>
    <w:rsid w:val="00D82E37"/>
    <w:rsid w:val="00D83482"/>
    <w:rsid w:val="00DA1CF1"/>
    <w:rsid w:val="00DA765F"/>
    <w:rsid w:val="00DB0BEE"/>
    <w:rsid w:val="00DC0099"/>
    <w:rsid w:val="00DC0307"/>
    <w:rsid w:val="00DD0D78"/>
    <w:rsid w:val="00DD2884"/>
    <w:rsid w:val="00DD4F2A"/>
    <w:rsid w:val="00DD543A"/>
    <w:rsid w:val="00DE1E1F"/>
    <w:rsid w:val="00DE3422"/>
    <w:rsid w:val="00DF7D9E"/>
    <w:rsid w:val="00E020A6"/>
    <w:rsid w:val="00E04756"/>
    <w:rsid w:val="00E0570F"/>
    <w:rsid w:val="00E0613D"/>
    <w:rsid w:val="00E13134"/>
    <w:rsid w:val="00E155A5"/>
    <w:rsid w:val="00E16907"/>
    <w:rsid w:val="00E20C1C"/>
    <w:rsid w:val="00E26DA2"/>
    <w:rsid w:val="00E27D94"/>
    <w:rsid w:val="00E323A2"/>
    <w:rsid w:val="00E3788F"/>
    <w:rsid w:val="00E3791E"/>
    <w:rsid w:val="00E46AB0"/>
    <w:rsid w:val="00E47BFF"/>
    <w:rsid w:val="00E5002F"/>
    <w:rsid w:val="00E521BA"/>
    <w:rsid w:val="00E554D9"/>
    <w:rsid w:val="00E604AE"/>
    <w:rsid w:val="00E63EE3"/>
    <w:rsid w:val="00E64F80"/>
    <w:rsid w:val="00E65886"/>
    <w:rsid w:val="00E706E3"/>
    <w:rsid w:val="00E74860"/>
    <w:rsid w:val="00E75F10"/>
    <w:rsid w:val="00E80F71"/>
    <w:rsid w:val="00E87EE4"/>
    <w:rsid w:val="00E90662"/>
    <w:rsid w:val="00E9127E"/>
    <w:rsid w:val="00E946A5"/>
    <w:rsid w:val="00EA2BA1"/>
    <w:rsid w:val="00EA3D6B"/>
    <w:rsid w:val="00EA743B"/>
    <w:rsid w:val="00EB0F30"/>
    <w:rsid w:val="00ED134F"/>
    <w:rsid w:val="00EE0A68"/>
    <w:rsid w:val="00EE46E7"/>
    <w:rsid w:val="00EE59A2"/>
    <w:rsid w:val="00EE68C9"/>
    <w:rsid w:val="00EF283F"/>
    <w:rsid w:val="00EF386F"/>
    <w:rsid w:val="00F00F98"/>
    <w:rsid w:val="00F01D30"/>
    <w:rsid w:val="00F02934"/>
    <w:rsid w:val="00F03D83"/>
    <w:rsid w:val="00F212F5"/>
    <w:rsid w:val="00F24ECB"/>
    <w:rsid w:val="00F255A4"/>
    <w:rsid w:val="00F25FEB"/>
    <w:rsid w:val="00F413EC"/>
    <w:rsid w:val="00F50698"/>
    <w:rsid w:val="00F52349"/>
    <w:rsid w:val="00F65CA0"/>
    <w:rsid w:val="00F706EA"/>
    <w:rsid w:val="00F71762"/>
    <w:rsid w:val="00F75AE1"/>
    <w:rsid w:val="00F771C4"/>
    <w:rsid w:val="00F81503"/>
    <w:rsid w:val="00F82C8C"/>
    <w:rsid w:val="00F82F8F"/>
    <w:rsid w:val="00F82FB3"/>
    <w:rsid w:val="00F83C10"/>
    <w:rsid w:val="00F85F23"/>
    <w:rsid w:val="00F90AEA"/>
    <w:rsid w:val="00F90D33"/>
    <w:rsid w:val="00F91390"/>
    <w:rsid w:val="00F960C5"/>
    <w:rsid w:val="00FA2433"/>
    <w:rsid w:val="00FA4E9D"/>
    <w:rsid w:val="00FA6A75"/>
    <w:rsid w:val="00FB0E83"/>
    <w:rsid w:val="00FB3B04"/>
    <w:rsid w:val="00FC4A33"/>
    <w:rsid w:val="00FC7469"/>
    <w:rsid w:val="00FC7C76"/>
    <w:rsid w:val="00FC7DCB"/>
    <w:rsid w:val="00FD298C"/>
    <w:rsid w:val="00FD2A12"/>
    <w:rsid w:val="00FD7839"/>
    <w:rsid w:val="00FE0F5D"/>
    <w:rsid w:val="00FE5C66"/>
    <w:rsid w:val="00FE60E7"/>
    <w:rsid w:val="00FF2833"/>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88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A0"/>
  </w:style>
  <w:style w:type="paragraph" w:styleId="Heading1">
    <w:name w:val="heading 1"/>
    <w:basedOn w:val="Normal"/>
    <w:next w:val="Normal"/>
    <w:link w:val="Heading1Char"/>
    <w:uiPriority w:val="9"/>
    <w:qFormat/>
    <w:rsid w:val="009D185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18B"/>
  </w:style>
  <w:style w:type="paragraph" w:styleId="Footer">
    <w:name w:val="footer"/>
    <w:basedOn w:val="Normal"/>
    <w:link w:val="FooterChar"/>
    <w:uiPriority w:val="99"/>
    <w:unhideWhenUsed/>
    <w:rsid w:val="00532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18B"/>
  </w:style>
  <w:style w:type="paragraph" w:styleId="ListParagraph">
    <w:name w:val="List Paragraph"/>
    <w:basedOn w:val="Normal"/>
    <w:uiPriority w:val="34"/>
    <w:qFormat/>
    <w:rsid w:val="0053218B"/>
    <w:pPr>
      <w:ind w:left="720"/>
      <w:contextualSpacing/>
    </w:pPr>
  </w:style>
  <w:style w:type="character" w:styleId="CommentReference">
    <w:name w:val="annotation reference"/>
    <w:basedOn w:val="DefaultParagraphFont"/>
    <w:uiPriority w:val="99"/>
    <w:semiHidden/>
    <w:unhideWhenUsed/>
    <w:rsid w:val="00473474"/>
    <w:rPr>
      <w:sz w:val="16"/>
      <w:szCs w:val="16"/>
    </w:rPr>
  </w:style>
  <w:style w:type="paragraph" w:styleId="CommentText">
    <w:name w:val="annotation text"/>
    <w:basedOn w:val="Normal"/>
    <w:link w:val="CommentTextChar"/>
    <w:uiPriority w:val="99"/>
    <w:unhideWhenUsed/>
    <w:rsid w:val="00473474"/>
    <w:pPr>
      <w:spacing w:line="240" w:lineRule="auto"/>
    </w:pPr>
    <w:rPr>
      <w:sz w:val="20"/>
      <w:szCs w:val="20"/>
    </w:rPr>
  </w:style>
  <w:style w:type="character" w:customStyle="1" w:styleId="CommentTextChar">
    <w:name w:val="Comment Text Char"/>
    <w:basedOn w:val="DefaultParagraphFont"/>
    <w:link w:val="CommentText"/>
    <w:uiPriority w:val="99"/>
    <w:rsid w:val="00473474"/>
    <w:rPr>
      <w:sz w:val="20"/>
      <w:szCs w:val="20"/>
    </w:rPr>
  </w:style>
  <w:style w:type="paragraph" w:styleId="CommentSubject">
    <w:name w:val="annotation subject"/>
    <w:basedOn w:val="CommentText"/>
    <w:next w:val="CommentText"/>
    <w:link w:val="CommentSubjectChar"/>
    <w:uiPriority w:val="99"/>
    <w:semiHidden/>
    <w:unhideWhenUsed/>
    <w:rsid w:val="00473474"/>
    <w:rPr>
      <w:b/>
      <w:bCs/>
    </w:rPr>
  </w:style>
  <w:style w:type="character" w:customStyle="1" w:styleId="CommentSubjectChar">
    <w:name w:val="Comment Subject Char"/>
    <w:basedOn w:val="CommentTextChar"/>
    <w:link w:val="CommentSubject"/>
    <w:uiPriority w:val="99"/>
    <w:semiHidden/>
    <w:rsid w:val="00473474"/>
    <w:rPr>
      <w:b/>
      <w:bCs/>
      <w:sz w:val="20"/>
      <w:szCs w:val="20"/>
    </w:rPr>
  </w:style>
  <w:style w:type="paragraph" w:styleId="BalloonText">
    <w:name w:val="Balloon Text"/>
    <w:basedOn w:val="Normal"/>
    <w:link w:val="BalloonTextChar"/>
    <w:uiPriority w:val="99"/>
    <w:semiHidden/>
    <w:unhideWhenUsed/>
    <w:rsid w:val="0047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74"/>
    <w:rPr>
      <w:rFonts w:ascii="Tahoma" w:hAnsi="Tahoma" w:cs="Tahoma"/>
      <w:sz w:val="16"/>
      <w:szCs w:val="16"/>
    </w:rPr>
  </w:style>
  <w:style w:type="character" w:styleId="Hyperlink">
    <w:name w:val="Hyperlink"/>
    <w:basedOn w:val="DefaultParagraphFont"/>
    <w:uiPriority w:val="99"/>
    <w:unhideWhenUsed/>
    <w:rsid w:val="00473474"/>
    <w:rPr>
      <w:color w:val="0000FF" w:themeColor="hyperlink"/>
      <w:u w:val="single"/>
    </w:rPr>
  </w:style>
  <w:style w:type="character" w:styleId="FollowedHyperlink">
    <w:name w:val="FollowedHyperlink"/>
    <w:basedOn w:val="DefaultParagraphFont"/>
    <w:uiPriority w:val="99"/>
    <w:semiHidden/>
    <w:unhideWhenUsed/>
    <w:rsid w:val="00A6145D"/>
    <w:rPr>
      <w:color w:val="800080" w:themeColor="followedHyperlink"/>
      <w:u w:val="single"/>
    </w:rPr>
  </w:style>
  <w:style w:type="character" w:customStyle="1" w:styleId="Heading1Char">
    <w:name w:val="Heading 1 Char"/>
    <w:basedOn w:val="DefaultParagraphFont"/>
    <w:link w:val="Heading1"/>
    <w:uiPriority w:val="9"/>
    <w:rsid w:val="009D185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9D1856"/>
  </w:style>
  <w:style w:type="paragraph" w:styleId="HTMLPreformatted">
    <w:name w:val="HTML Preformatted"/>
    <w:basedOn w:val="Normal"/>
    <w:link w:val="HTMLPreformattedChar"/>
    <w:uiPriority w:val="99"/>
    <w:semiHidden/>
    <w:unhideWhenUsed/>
    <w:rsid w:val="009F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F4659"/>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B06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F7D"/>
    <w:rPr>
      <w:sz w:val="20"/>
      <w:szCs w:val="20"/>
    </w:rPr>
  </w:style>
  <w:style w:type="character" w:styleId="FootnoteReference">
    <w:name w:val="footnote reference"/>
    <w:basedOn w:val="DefaultParagraphFont"/>
    <w:uiPriority w:val="99"/>
    <w:semiHidden/>
    <w:unhideWhenUsed/>
    <w:rsid w:val="00B06F7D"/>
    <w:rPr>
      <w:vertAlign w:val="superscript"/>
    </w:rPr>
  </w:style>
  <w:style w:type="table" w:styleId="TableGrid">
    <w:name w:val="Table Grid"/>
    <w:basedOn w:val="TableNormal"/>
    <w:uiPriority w:val="59"/>
    <w:rsid w:val="00EF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9210">
      <w:bodyDiv w:val="1"/>
      <w:marLeft w:val="0"/>
      <w:marRight w:val="0"/>
      <w:marTop w:val="0"/>
      <w:marBottom w:val="0"/>
      <w:divBdr>
        <w:top w:val="none" w:sz="0" w:space="0" w:color="auto"/>
        <w:left w:val="none" w:sz="0" w:space="0" w:color="auto"/>
        <w:bottom w:val="none" w:sz="0" w:space="0" w:color="auto"/>
        <w:right w:val="none" w:sz="0" w:space="0" w:color="auto"/>
      </w:divBdr>
    </w:div>
    <w:div w:id="186723064">
      <w:bodyDiv w:val="1"/>
      <w:marLeft w:val="0"/>
      <w:marRight w:val="0"/>
      <w:marTop w:val="0"/>
      <w:marBottom w:val="0"/>
      <w:divBdr>
        <w:top w:val="none" w:sz="0" w:space="0" w:color="auto"/>
        <w:left w:val="none" w:sz="0" w:space="0" w:color="auto"/>
        <w:bottom w:val="none" w:sz="0" w:space="0" w:color="auto"/>
        <w:right w:val="none" w:sz="0" w:space="0" w:color="auto"/>
      </w:divBdr>
    </w:div>
    <w:div w:id="1355686733">
      <w:bodyDiv w:val="1"/>
      <w:marLeft w:val="0"/>
      <w:marRight w:val="0"/>
      <w:marTop w:val="0"/>
      <w:marBottom w:val="0"/>
      <w:divBdr>
        <w:top w:val="none" w:sz="0" w:space="0" w:color="auto"/>
        <w:left w:val="none" w:sz="0" w:space="0" w:color="auto"/>
        <w:bottom w:val="none" w:sz="0" w:space="0" w:color="auto"/>
        <w:right w:val="none" w:sz="0" w:space="0" w:color="auto"/>
      </w:divBdr>
    </w:div>
    <w:div w:id="1475221260">
      <w:bodyDiv w:val="1"/>
      <w:marLeft w:val="0"/>
      <w:marRight w:val="0"/>
      <w:marTop w:val="0"/>
      <w:marBottom w:val="0"/>
      <w:divBdr>
        <w:top w:val="none" w:sz="0" w:space="0" w:color="auto"/>
        <w:left w:val="none" w:sz="0" w:space="0" w:color="auto"/>
        <w:bottom w:val="none" w:sz="0" w:space="0" w:color="auto"/>
        <w:right w:val="none" w:sz="0" w:space="0" w:color="auto"/>
      </w:divBdr>
    </w:div>
    <w:div w:id="19215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health/sites/health/files/state/docs/2018_healthatglance_rep_en.pdf" TargetMode="External"/><Relationship Id="rId18" Type="http://schemas.openxmlformats.org/officeDocument/2006/relationships/chart" Target="charts/chart4.xml"/><Relationship Id="rId26" Type="http://schemas.openxmlformats.org/officeDocument/2006/relationships/hyperlink" Target="http://insp.gov.ro/sites/1/rezultate/" TargetMode="External"/><Relationship Id="rId3" Type="http://schemas.openxmlformats.org/officeDocument/2006/relationships/styles" Target="styles.xml"/><Relationship Id="rId21" Type="http://schemas.openxmlformats.org/officeDocument/2006/relationships/hyperlink" Target="https://ec.europa.eu/health/sites/health/files/state/docs/2018_healthatglance_rep_en.pdf"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s://www.hosptm.ro/files/pn-screening-cancer-col/ordin_377_2017_full.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health/sites/health/files/state/docs/2018_healthatglance_rep_en.pdf" TargetMode="External"/><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hyperlink" Target="https://ec.europa.eu/health/sites/health/files/state/docs/2018_healthatglance_rep_en.pdf" TargetMode="External"/><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ec.europa.eu/health/sites/health/files/state/docs/2018_healthatglance_rep_en.pdf" TargetMode="External"/><Relationship Id="rId4" Type="http://schemas.microsoft.com/office/2007/relationships/stylesWithEffects" Target="stylesWithEffects.xml"/><Relationship Id="rId9" Type="http://schemas.openxmlformats.org/officeDocument/2006/relationships/hyperlink" Target="http://apps.who.int/gho/portal/uhc-country.jsp" TargetMode="External"/><Relationship Id="rId14" Type="http://schemas.openxmlformats.org/officeDocument/2006/relationships/chart" Target="charts/chart3.xml"/><Relationship Id="rId22" Type="http://schemas.openxmlformats.org/officeDocument/2006/relationships/image" Target="media/image5.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pps.who.int/gho/portal/uhc-country.jsp" TargetMode="External"/><Relationship Id="rId13" Type="http://schemas.openxmlformats.org/officeDocument/2006/relationships/hyperlink" Target="https://ec.europa.eu/health/sites/health/files/state/docs/2017_companion_en.pdf?fbclid=IwAR00grukHIX4RePDv9dzTXrT4aLQRJDCwXCrvb9yRJaoBONOFm4gsfog0lQ" TargetMode="External"/><Relationship Id="rId18" Type="http://schemas.openxmlformats.org/officeDocument/2006/relationships/hyperlink" Target="https://ec.europa.eu/eurostat/statistics-explained/index.php/Healthcare_personnel_statistics_-_physicians" TargetMode="External"/><Relationship Id="rId26" Type="http://schemas.openxmlformats.org/officeDocument/2006/relationships/hyperlink" Target="http://www.iocn.ro/Document_Files/Ghiduri-%C5%9Fi-Bro%C5%9Furi/00000772/vbsea_Poster%20Codul%20european%20impotriva%20cancerului-%20SRC-II_A3_print.pdf" TargetMode="External"/><Relationship Id="rId3" Type="http://schemas.openxmlformats.org/officeDocument/2006/relationships/hyperlink" Target="https://www.who.int/en/news-room/fact-sheets/detail/universal-health-coverage-(uhc)" TargetMode="External"/><Relationship Id="rId21" Type="http://schemas.openxmlformats.org/officeDocument/2006/relationships/hyperlink" Target="http://www.ms.ro/wp-content/uploads/2016/10/Anexa-1-Strategia-Nationala-de-Sanatate-2014-2020.pdf" TargetMode="External"/><Relationship Id="rId7" Type="http://schemas.openxmlformats.org/officeDocument/2006/relationships/hyperlink" Target="http://www.who.int/sdg/targets/en/" TargetMode="External"/><Relationship Id="rId12" Type="http://schemas.openxmlformats.org/officeDocument/2006/relationships/hyperlink" Target="https://www.oecd-ilibrary.org/docserver/9780335262274-en.pdf?expires=1552906058&amp;id=id&amp;accname=guest&amp;checksum=EBC474A22C92FDB03603071969008178" TargetMode="External"/><Relationship Id="rId17" Type="http://schemas.openxmlformats.org/officeDocument/2006/relationships/hyperlink" Target="https://ec.europa.eu/health/sites/health/files/state/docs/chp_romania_romanian.pdf?fbclid=IwAR1Fc60Oi0YA4tuPmyR6LvnqCywCGmiQpyb2uSnDCcsuM6KR2ZwOpipurNA" TargetMode="External"/><Relationship Id="rId25" Type="http://schemas.openxmlformats.org/officeDocument/2006/relationships/hyperlink" Target="http://www.euro.who.int/en/health-topics/noncommunicable-diseases/cancer/news/news/2016/02/preventing-cancer-the-european-code-against-cancer" TargetMode="External"/><Relationship Id="rId2" Type="http://schemas.openxmlformats.org/officeDocument/2006/relationships/hyperlink" Target="https://www.who.int/world-health-day/previous/en/" TargetMode="External"/><Relationship Id="rId16" Type="http://schemas.openxmlformats.org/officeDocument/2006/relationships/hyperlink" Target="https://www.oecd-ilibrary.org/docserver/9780335262274-en.pdf?expires=1552906058&amp;id=id&amp;accname=guest&amp;checksum=EBC474A22C92FDB03603071969008178" TargetMode="External"/><Relationship Id="rId20" Type="http://schemas.openxmlformats.org/officeDocument/2006/relationships/hyperlink" Target="https://ec.europa.eu/health/sites/health/files/state/docs/chp_romania_romanian.pdf?fbclid=IwAR1Fc60Oi0YA4tuPmyR6LvnqCywCGmiQpyb2uSnDCcsuM6KR2ZwOpipurNA" TargetMode="External"/><Relationship Id="rId1" Type="http://schemas.openxmlformats.org/officeDocument/2006/relationships/hyperlink" Target="https://www.who.int/campaigns/world-health-day/world-health-day-2019" TargetMode="External"/><Relationship Id="rId6" Type="http://schemas.openxmlformats.org/officeDocument/2006/relationships/hyperlink" Target="http://www.euractiv.ro/we-develop/ce-reprezinta-cele-17-obiective-de-dezvoltare-durabila-odd-incluse-pe-agenda-2030-6402" TargetMode="External"/><Relationship Id="rId11" Type="http://schemas.openxmlformats.org/officeDocument/2006/relationships/hyperlink" Target="https://ec.europa.eu/health/sites/health/files/state/docs/2017_companion_en.pdf?fbclid=IwAR00grukHIX4RePDv9dzTXrT4aLQRJDCwXCrvb9yRJaoBONOFm4gsfog0lQ" TargetMode="External"/><Relationship Id="rId24" Type="http://schemas.openxmlformats.org/officeDocument/2006/relationships/hyperlink" Target="https://www.hosptm.ro/files/pn-screening-cancer-col/ordin_377_2017_full.pdf" TargetMode="External"/><Relationship Id="rId5" Type="http://schemas.openxmlformats.org/officeDocument/2006/relationships/hyperlink" Target="http://www.who.int/mediacentre/factsheets/fs395/en/" TargetMode="External"/><Relationship Id="rId15" Type="http://schemas.openxmlformats.org/officeDocument/2006/relationships/hyperlink" Target="https://www.who.int/campaigns/world-health-day/world-health-day-2019/key-messages" TargetMode="External"/><Relationship Id="rId23" Type="http://schemas.openxmlformats.org/officeDocument/2006/relationships/hyperlink" Target="http://www.ms.ro/wp-content/uploads/2016/10/Raport-Implementare-SNS-2015.pdf" TargetMode="External"/><Relationship Id="rId10" Type="http://schemas.openxmlformats.org/officeDocument/2006/relationships/hyperlink" Target="https://www.who.int/en/news-room/fact-sheets/detail/universal-health-coverage-(uhc)" TargetMode="External"/><Relationship Id="rId19" Type="http://schemas.openxmlformats.org/officeDocument/2006/relationships/hyperlink" Target="https://ec.europa.eu/health/sites/health/files/state/docs/chp_romania_romanian.pdf?fbclid=IwAR1Fc60Oi0YA4tuPmyR6LvnqCywCGmiQpyb2uSnDCcsuM6KR2ZwOpipurNA" TargetMode="External"/><Relationship Id="rId4" Type="http://schemas.openxmlformats.org/officeDocument/2006/relationships/hyperlink" Target="http://www.who.int/health_financing/universal_coverage_definition/en/" TargetMode="External"/><Relationship Id="rId9" Type="http://schemas.openxmlformats.org/officeDocument/2006/relationships/hyperlink" Target="https://www.who.int/en/news-room/fact-sheets/detail/universal-health-coverage-(uhc)" TargetMode="External"/><Relationship Id="rId14" Type="http://schemas.openxmlformats.org/officeDocument/2006/relationships/hyperlink" Target="https://www.who.int/campaigns/world-health-day/world-health-day-2019/communications-materials" TargetMode="External"/><Relationship Id="rId22" Type="http://schemas.openxmlformats.org/officeDocument/2006/relationships/hyperlink" Target="http://www.ms.ro/wp-content/uploads/2016/10/Anexa-2-Plan-de-actiun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D:\WORK%20CRSP\2019\Campanii\ZMS%202019\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ORK%20CRSP\2019\Campanii\ZMS%202019\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AppData\Local\Microsoft\Windows\Temporary%20Internet%20Files\Low\Content.IE5\9BVM3WOL\812018701p1g107%5b1%5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AppData\Local\Microsoft\Windows\Temporary%20Internet%20Files\Low\Content.IE5\7NGR2JS9\812018701p1g080%5b1%5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AppData\Local\Microsoft\Windows\Temporary%20Internet%20Files\Low\Content.IE5\K4SQFS91\812018701p1g081%5b1%5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WORK%20CRSP\2019\Campanii\ZMS%202019\Copy%20of%20AMC%20%202017%20situatie%20numeric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WORK%20CRSP\2019\Campanii\ZMS%202019\Copy%20of%20AMC%20%202017%20situatie%20numer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ser>
          <c:idx val="0"/>
          <c:order val="0"/>
          <c:dLbls>
            <c:dLbl>
              <c:idx val="3"/>
              <c:tx>
                <c:rich>
                  <a:bodyPr/>
                  <a:lstStyle/>
                  <a:p>
                    <a:r>
                      <a:rPr lang="en-US">
                        <a:latin typeface="Times New Roman" pitchFamily="18" charset="0"/>
                        <a:cs typeface="Times New Roman" pitchFamily="18" charset="0"/>
                      </a:rPr>
                      <a:t>Boală cardiacă ischemică; 18</a:t>
                    </a:r>
                    <a:endParaRPr lang="en-US">
                      <a:latin typeface="Calibri" pitchFamily="34" charset="0"/>
                      <a:cs typeface="Calibri" pitchFamily="34" charset="0"/>
                    </a:endParaRP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4D-4C4F-B7C4-077278B51CAE}"/>
                </c:ext>
              </c:extLst>
            </c:dLbl>
            <c:dLbl>
              <c:idx val="4"/>
              <c:layout>
                <c:manualLayout>
                  <c:x val="-2.5269707665852112E-2"/>
                  <c:y val="-4.668121144806521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4D-4C4F-B7C4-077278B51CAE}"/>
                </c:ext>
              </c:extLst>
            </c:dLbl>
            <c:dLbl>
              <c:idx val="5"/>
              <c:tx>
                <c:rich>
                  <a:bodyPr/>
                  <a:lstStyle/>
                  <a:p>
                    <a:r>
                      <a:rPr lang="en-US">
                        <a:latin typeface="Times New Roman" pitchFamily="18" charset="0"/>
                        <a:cs typeface="Times New Roman" pitchFamily="18" charset="0"/>
                      </a:rPr>
                      <a:t>Suicid; 7</a:t>
                    </a:r>
                    <a:endParaRPr lang="en-US"/>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94D-4C4F-B7C4-077278B51CAE}"/>
                </c:ext>
              </c:extLst>
            </c:dLbl>
            <c:spPr>
              <a:noFill/>
              <a:ln>
                <a:noFill/>
              </a:ln>
              <a:effectLst/>
            </c:spPr>
            <c:txPr>
              <a:bodyPr/>
              <a:lstStyle/>
              <a:p>
                <a:pPr>
                  <a:defRPr sz="1000" b="0">
                    <a:latin typeface="Times New Roman" pitchFamily="18" charset="0"/>
                    <a:cs typeface="Times New Roman" pitchFamily="18" charset="0"/>
                  </a:defRPr>
                </a:pPr>
                <a:endParaRPr lang="ro-RO"/>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Sheet1!$A$2:$A$8</c:f>
              <c:strCache>
                <c:ptCount val="7"/>
                <c:pt idx="0">
                  <c:v>Cancer colo-rectal</c:v>
                </c:pt>
                <c:pt idx="1">
                  <c:v>Cancer pulmonar</c:v>
                </c:pt>
                <c:pt idx="2">
                  <c:v>Consum de alcool</c:v>
                </c:pt>
                <c:pt idx="3">
                  <c:v>Boală cardiacă ischemică</c:v>
                </c:pt>
                <c:pt idx="4">
                  <c:v>Accidente</c:v>
                </c:pt>
                <c:pt idx="5">
                  <c:v>Suicid</c:v>
                </c:pt>
                <c:pt idx="6">
                  <c:v>Alte cauze</c:v>
                </c:pt>
              </c:strCache>
            </c:strRef>
          </c:cat>
          <c:val>
            <c:numRef>
              <c:f>Sheet1!$B$2:$B$8</c:f>
              <c:numCache>
                <c:formatCode>General</c:formatCode>
                <c:ptCount val="7"/>
                <c:pt idx="0">
                  <c:v>7</c:v>
                </c:pt>
                <c:pt idx="1">
                  <c:v>17</c:v>
                </c:pt>
                <c:pt idx="2">
                  <c:v>7</c:v>
                </c:pt>
                <c:pt idx="3">
                  <c:v>18</c:v>
                </c:pt>
                <c:pt idx="4">
                  <c:v>16</c:v>
                </c:pt>
                <c:pt idx="5">
                  <c:v>7</c:v>
                </c:pt>
                <c:pt idx="6">
                  <c:v>29</c:v>
                </c:pt>
              </c:numCache>
            </c:numRef>
          </c:val>
          <c:extLst xmlns:c16r2="http://schemas.microsoft.com/office/drawing/2015/06/chart">
            <c:ext xmlns:c16="http://schemas.microsoft.com/office/drawing/2014/chart" uri="{C3380CC4-5D6E-409C-BE32-E72D297353CC}">
              <c16:uniqueId val="{00000003-694D-4C4F-B7C4-077278B51CAE}"/>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15"/>
            <c:invertIfNegative val="0"/>
            <c:bubble3D val="0"/>
            <c:spPr>
              <a:solidFill>
                <a:srgbClr val="00B050"/>
              </a:solidFill>
            </c:spPr>
            <c:extLst xmlns:c16r2="http://schemas.microsoft.com/office/drawing/2015/06/chart">
              <c:ext xmlns:c16="http://schemas.microsoft.com/office/drawing/2014/chart" uri="{C3380CC4-5D6E-409C-BE32-E72D297353CC}">
                <c16:uniqueId val="{00000001-CAE7-4D19-9D71-099A45681F82}"/>
              </c:ext>
            </c:extLst>
          </c:dPt>
          <c:dPt>
            <c:idx val="25"/>
            <c:invertIfNegative val="0"/>
            <c:bubble3D val="0"/>
            <c:spPr>
              <a:solidFill>
                <a:srgbClr val="FF0000"/>
              </a:solidFill>
            </c:spPr>
            <c:extLst xmlns:c16r2="http://schemas.microsoft.com/office/drawing/2015/06/chart">
              <c:ext xmlns:c16="http://schemas.microsoft.com/office/drawing/2014/chart" uri="{C3380CC4-5D6E-409C-BE32-E72D297353CC}">
                <c16:uniqueId val="{00000003-CAE7-4D19-9D71-099A45681F82}"/>
              </c:ext>
            </c:extLst>
          </c:dPt>
          <c:dLbls>
            <c:dLbl>
              <c:idx val="1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E7-4D19-9D71-099A45681F82}"/>
                </c:ext>
              </c:extLst>
            </c:dLbl>
            <c:dLbl>
              <c:idx val="2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E7-4D19-9D71-099A45681F82}"/>
                </c:ext>
              </c:extLst>
            </c:dLbl>
            <c:spPr>
              <a:noFill/>
              <a:ln>
                <a:noFill/>
              </a:ln>
              <a:effectLst/>
            </c:spPr>
            <c:txPr>
              <a:bodyPr/>
              <a:lstStyle/>
              <a:p>
                <a:pPr>
                  <a:defRPr b="1">
                    <a:latin typeface="Times New Roman" pitchFamily="18" charset="0"/>
                    <a:cs typeface="Times New Roman" pitchFamily="18" charset="0"/>
                  </a:defRPr>
                </a:pPr>
                <a:endParaRPr lang="ro-RO"/>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Sheet2!$A$1:$A$29</c:f>
              <c:strCache>
                <c:ptCount val="29"/>
                <c:pt idx="0">
                  <c:v>Italia</c:v>
                </c:pt>
                <c:pt idx="1">
                  <c:v>Cipru</c:v>
                </c:pt>
                <c:pt idx="2">
                  <c:v>Spania</c:v>
                </c:pt>
                <c:pt idx="3">
                  <c:v>Malta</c:v>
                </c:pt>
                <c:pt idx="4">
                  <c:v>Suedia</c:v>
                </c:pt>
                <c:pt idx="5">
                  <c:v>Grecia</c:v>
                </c:pt>
                <c:pt idx="6">
                  <c:v>Franța</c:v>
                </c:pt>
                <c:pt idx="7">
                  <c:v>Portugalia</c:v>
                </c:pt>
                <c:pt idx="8">
                  <c:v>Irlanda</c:v>
                </c:pt>
                <c:pt idx="9">
                  <c:v>Olanda</c:v>
                </c:pt>
                <c:pt idx="10">
                  <c:v>Luxemburg</c:v>
                </c:pt>
                <c:pt idx="11">
                  <c:v>Danemarca</c:v>
                </c:pt>
                <c:pt idx="12">
                  <c:v>Marea Britanie</c:v>
                </c:pt>
                <c:pt idx="13">
                  <c:v>Finlanda</c:v>
                </c:pt>
                <c:pt idx="14">
                  <c:v>Germania</c:v>
                </c:pt>
                <c:pt idx="15">
                  <c:v>EU28</c:v>
                </c:pt>
                <c:pt idx="16">
                  <c:v>Belgia</c:v>
                </c:pt>
                <c:pt idx="17">
                  <c:v>Austria</c:v>
                </c:pt>
                <c:pt idx="18">
                  <c:v>Slovenia</c:v>
                </c:pt>
                <c:pt idx="19">
                  <c:v>Bulgaria</c:v>
                </c:pt>
                <c:pt idx="20">
                  <c:v>Polonia</c:v>
                </c:pt>
                <c:pt idx="21">
                  <c:v>Cehia</c:v>
                </c:pt>
                <c:pt idx="22">
                  <c:v>Estonia</c:v>
                </c:pt>
                <c:pt idx="23">
                  <c:v>Croația</c:v>
                </c:pt>
                <c:pt idx="24">
                  <c:v>Slovacia</c:v>
                </c:pt>
                <c:pt idx="25">
                  <c:v>România</c:v>
                </c:pt>
                <c:pt idx="26">
                  <c:v>Letonia</c:v>
                </c:pt>
                <c:pt idx="27">
                  <c:v>Ungaria</c:v>
                </c:pt>
                <c:pt idx="28">
                  <c:v>Lituania</c:v>
                </c:pt>
              </c:strCache>
            </c:strRef>
          </c:cat>
          <c:val>
            <c:numRef>
              <c:f>Sheet2!$B$1:$B$29</c:f>
              <c:numCache>
                <c:formatCode>General</c:formatCode>
                <c:ptCount val="29"/>
                <c:pt idx="0">
                  <c:v>151</c:v>
                </c:pt>
                <c:pt idx="1">
                  <c:v>155</c:v>
                </c:pt>
                <c:pt idx="2">
                  <c:v>159</c:v>
                </c:pt>
                <c:pt idx="3">
                  <c:v>171</c:v>
                </c:pt>
                <c:pt idx="4">
                  <c:v>174</c:v>
                </c:pt>
                <c:pt idx="5">
                  <c:v>182</c:v>
                </c:pt>
                <c:pt idx="6">
                  <c:v>184</c:v>
                </c:pt>
                <c:pt idx="7">
                  <c:v>186</c:v>
                </c:pt>
                <c:pt idx="8">
                  <c:v>188</c:v>
                </c:pt>
                <c:pt idx="9">
                  <c:v>189</c:v>
                </c:pt>
                <c:pt idx="10">
                  <c:v>203</c:v>
                </c:pt>
                <c:pt idx="11">
                  <c:v>206</c:v>
                </c:pt>
                <c:pt idx="12">
                  <c:v>211</c:v>
                </c:pt>
                <c:pt idx="13">
                  <c:v>213</c:v>
                </c:pt>
                <c:pt idx="14">
                  <c:v>215</c:v>
                </c:pt>
                <c:pt idx="15">
                  <c:v>216</c:v>
                </c:pt>
                <c:pt idx="16">
                  <c:v>216</c:v>
                </c:pt>
                <c:pt idx="17">
                  <c:v>221</c:v>
                </c:pt>
                <c:pt idx="18">
                  <c:v>265</c:v>
                </c:pt>
                <c:pt idx="19">
                  <c:v>271</c:v>
                </c:pt>
                <c:pt idx="20">
                  <c:v>276</c:v>
                </c:pt>
                <c:pt idx="21">
                  <c:v>285</c:v>
                </c:pt>
                <c:pt idx="22">
                  <c:v>307</c:v>
                </c:pt>
                <c:pt idx="23">
                  <c:v>327</c:v>
                </c:pt>
                <c:pt idx="24">
                  <c:v>362</c:v>
                </c:pt>
                <c:pt idx="25">
                  <c:v>363</c:v>
                </c:pt>
                <c:pt idx="26">
                  <c:v>415</c:v>
                </c:pt>
                <c:pt idx="27">
                  <c:v>418</c:v>
                </c:pt>
                <c:pt idx="28">
                  <c:v>446</c:v>
                </c:pt>
              </c:numCache>
            </c:numRef>
          </c:val>
          <c:extLst xmlns:c16r2="http://schemas.microsoft.com/office/drawing/2015/06/chart">
            <c:ext xmlns:c16="http://schemas.microsoft.com/office/drawing/2014/chart" uri="{C3380CC4-5D6E-409C-BE32-E72D297353CC}">
              <c16:uniqueId val="{00000004-CAE7-4D19-9D71-099A45681F82}"/>
            </c:ext>
          </c:extLst>
        </c:ser>
        <c:dLbls>
          <c:showLegendKey val="0"/>
          <c:showVal val="0"/>
          <c:showCatName val="0"/>
          <c:showSerName val="0"/>
          <c:showPercent val="0"/>
          <c:showBubbleSize val="0"/>
        </c:dLbls>
        <c:gapWidth val="150"/>
        <c:axId val="253229696"/>
        <c:axId val="176034176"/>
      </c:barChart>
      <c:catAx>
        <c:axId val="253229696"/>
        <c:scaling>
          <c:orientation val="maxMin"/>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o-RO"/>
          </a:p>
        </c:txPr>
        <c:crossAx val="176034176"/>
        <c:crosses val="autoZero"/>
        <c:auto val="1"/>
        <c:lblAlgn val="ctr"/>
        <c:lblOffset val="100"/>
        <c:noMultiLvlLbl val="0"/>
      </c:catAx>
      <c:valAx>
        <c:axId val="176034176"/>
        <c:scaling>
          <c:orientation val="minMax"/>
        </c:scaling>
        <c:delete val="0"/>
        <c:axPos val="t"/>
        <c:majorGridlines/>
        <c:numFmt formatCode="General" sourceLinked="1"/>
        <c:majorTickMark val="out"/>
        <c:minorTickMark val="none"/>
        <c:tickLblPos val="nextTo"/>
        <c:crossAx val="2532296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004166666666665E-2"/>
          <c:y val="0.18575808080808082"/>
          <c:w val="0.94999537037037041"/>
          <c:h val="0.51481212121212117"/>
        </c:manualLayout>
      </c:layout>
      <c:lineChart>
        <c:grouping val="standard"/>
        <c:varyColors val="0"/>
        <c:ser>
          <c:idx val="0"/>
          <c:order val="0"/>
          <c:tx>
            <c:strRef>
              <c:f>'[812018701p1g107(1).xlsx]g6-18'!$B$26</c:f>
              <c:strCache>
                <c:ptCount val="1"/>
                <c:pt idx="0">
                  <c:v>2000</c:v>
                </c:pt>
              </c:strCache>
            </c:strRef>
          </c:tx>
          <c:spPr>
            <a:ln w="19050">
              <a:noFill/>
            </a:ln>
          </c:spPr>
          <c:marker>
            <c:symbol val="circle"/>
            <c:size val="6"/>
            <c:spPr>
              <a:solidFill>
                <a:srgbClr val="A7B9E3"/>
              </a:solidFill>
              <a:ln w="3175">
                <a:solidFill>
                  <a:srgbClr val="A7B9E3"/>
                </a:solidFill>
                <a:prstDash val="solid"/>
              </a:ln>
              <a:effectLst/>
            </c:spPr>
          </c:marker>
          <c:dPt>
            <c:idx val="3"/>
            <c:bubble3D val="0"/>
            <c:extLst xmlns:c16r2="http://schemas.microsoft.com/office/drawing/2015/06/chart">
              <c:ext xmlns:c16="http://schemas.microsoft.com/office/drawing/2014/chart" uri="{C3380CC4-5D6E-409C-BE32-E72D297353CC}">
                <c16:uniqueId val="{00000000-3C71-4B4E-9EBB-DAF7134D5021}"/>
              </c:ext>
            </c:extLst>
          </c:dPt>
          <c:dPt>
            <c:idx val="15"/>
            <c:bubble3D val="0"/>
            <c:extLst xmlns:c16r2="http://schemas.microsoft.com/office/drawing/2015/06/chart">
              <c:ext xmlns:c16="http://schemas.microsoft.com/office/drawing/2014/chart" uri="{C3380CC4-5D6E-409C-BE32-E72D297353CC}">
                <c16:uniqueId val="{00000001-3C71-4B4E-9EBB-DAF7134D5021}"/>
              </c:ext>
            </c:extLst>
          </c:dPt>
          <c:dPt>
            <c:idx val="16"/>
            <c:bubble3D val="0"/>
            <c:extLst xmlns:c16r2="http://schemas.microsoft.com/office/drawing/2015/06/chart">
              <c:ext xmlns:c16="http://schemas.microsoft.com/office/drawing/2014/chart" uri="{C3380CC4-5D6E-409C-BE32-E72D297353CC}">
                <c16:uniqueId val="{00000002-3C71-4B4E-9EBB-DAF7134D5021}"/>
              </c:ext>
            </c:extLst>
          </c:dPt>
          <c:dPt>
            <c:idx val="17"/>
            <c:bubble3D val="0"/>
            <c:extLst xmlns:c16r2="http://schemas.microsoft.com/office/drawing/2015/06/chart">
              <c:ext xmlns:c16="http://schemas.microsoft.com/office/drawing/2014/chart" uri="{C3380CC4-5D6E-409C-BE32-E72D297353CC}">
                <c16:uniqueId val="{00000003-3C71-4B4E-9EBB-DAF7134D5021}"/>
              </c:ext>
            </c:extLst>
          </c:dPt>
          <c:dPt>
            <c:idx val="18"/>
            <c:bubble3D val="0"/>
            <c:extLst xmlns:c16r2="http://schemas.microsoft.com/office/drawing/2015/06/chart">
              <c:ext xmlns:c16="http://schemas.microsoft.com/office/drawing/2014/chart" uri="{C3380CC4-5D6E-409C-BE32-E72D297353CC}">
                <c16:uniqueId val="{00000004-3C71-4B4E-9EBB-DAF7134D5021}"/>
              </c:ext>
            </c:extLst>
          </c:dPt>
          <c:dPt>
            <c:idx val="19"/>
            <c:marker>
              <c:spPr>
                <a:solidFill>
                  <a:srgbClr val="929292"/>
                </a:solidFill>
                <a:ln w="3175">
                  <a:solidFill>
                    <a:srgbClr val="929292"/>
                  </a:solidFill>
                  <a:prstDash val="solid"/>
                </a:ln>
                <a:effectLst/>
              </c:spPr>
            </c:marker>
            <c:bubble3D val="0"/>
            <c:extLst xmlns:c16r2="http://schemas.microsoft.com/office/drawing/2015/06/chart">
              <c:ext xmlns:c16="http://schemas.microsoft.com/office/drawing/2014/chart" uri="{C3380CC4-5D6E-409C-BE32-E72D297353CC}">
                <c16:uniqueId val="{00000005-3C71-4B4E-9EBB-DAF7134D5021}"/>
              </c:ext>
            </c:extLst>
          </c:dPt>
          <c:dPt>
            <c:idx val="28"/>
            <c:marker>
              <c:spPr>
                <a:solidFill>
                  <a:srgbClr val="FF0000"/>
                </a:solidFill>
                <a:ln w="3175">
                  <a:solidFill>
                    <a:srgbClr val="A7B9E3"/>
                  </a:solidFill>
                  <a:prstDash val="solid"/>
                </a:ln>
                <a:effectLst/>
              </c:spPr>
            </c:marker>
            <c:bubble3D val="0"/>
            <c:extLst xmlns:c16r2="http://schemas.microsoft.com/office/drawing/2015/06/chart">
              <c:ext xmlns:c16="http://schemas.microsoft.com/office/drawing/2014/chart" uri="{C3380CC4-5D6E-409C-BE32-E72D297353CC}">
                <c16:uniqueId val="{00000006-3C71-4B4E-9EBB-DAF7134D5021}"/>
              </c:ext>
            </c:extLst>
          </c:dPt>
          <c:dPt>
            <c:idx val="35"/>
            <c:bubble3D val="0"/>
            <c:extLst xmlns:c16r2="http://schemas.microsoft.com/office/drawing/2015/06/chart">
              <c:ext xmlns:c16="http://schemas.microsoft.com/office/drawing/2014/chart" uri="{C3380CC4-5D6E-409C-BE32-E72D297353CC}">
                <c16:uniqueId val="{00000007-3C71-4B4E-9EBB-DAF7134D5021}"/>
              </c:ext>
            </c:extLst>
          </c:dPt>
          <c:dLbls>
            <c:dLbl>
              <c:idx val="28"/>
              <c:layout>
                <c:manualLayout>
                  <c:x val="-2.8665931642778392E-2"/>
                  <c:y val="-7.2202166064981952E-3"/>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C71-4B4E-9EBB-DAF7134D5021}"/>
                </c:ext>
              </c:extLst>
            </c:dLbl>
            <c:spPr>
              <a:noFill/>
              <a:ln>
                <a:noFill/>
              </a:ln>
              <a:effectLst/>
            </c:spPr>
            <c:txPr>
              <a:bodyPr/>
              <a:lstStyle/>
              <a:p>
                <a:pPr>
                  <a:defRPr sz="800"/>
                </a:pPr>
                <a:endParaRPr lang="ro-RO"/>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'[812018701p1g107(1).xlsx]g6-18'!$A$27:$A$55</c:f>
              <c:strCache>
                <c:ptCount val="29"/>
                <c:pt idx="0">
                  <c:v>Italia</c:v>
                </c:pt>
                <c:pt idx="1">
                  <c:v>Malta</c:v>
                </c:pt>
                <c:pt idx="2">
                  <c:v>Finlanda</c:v>
                </c:pt>
                <c:pt idx="3">
                  <c:v>Franța</c:v>
                </c:pt>
                <c:pt idx="4">
                  <c:v>Grecia</c:v>
                </c:pt>
                <c:pt idx="5">
                  <c:v>Olanda</c:v>
                </c:pt>
                <c:pt idx="6">
                  <c:v>Spania</c:v>
                </c:pt>
                <c:pt idx="7">
                  <c:v>Marea Britanie</c:v>
                </c:pt>
                <c:pt idx="8">
                  <c:v>Belgia</c:v>
                </c:pt>
                <c:pt idx="9">
                  <c:v>Austria</c:v>
                </c:pt>
                <c:pt idx="10">
                  <c:v>Luxemburg</c:v>
                </c:pt>
                <c:pt idx="11">
                  <c:v>Germania</c:v>
                </c:pt>
                <c:pt idx="12">
                  <c:v>Portugalia</c:v>
                </c:pt>
                <c:pt idx="13">
                  <c:v>Suedia</c:v>
                </c:pt>
                <c:pt idx="14">
                  <c:v>Danemarca</c:v>
                </c:pt>
                <c:pt idx="15">
                  <c:v>Cipru</c:v>
                </c:pt>
                <c:pt idx="16">
                  <c:v>Irlanda</c:v>
                </c:pt>
                <c:pt idx="17">
                  <c:v>Slovenia</c:v>
                </c:pt>
                <c:pt idx="18">
                  <c:v>Croația</c:v>
                </c:pt>
                <c:pt idx="19">
                  <c:v>EU28</c:v>
                </c:pt>
                <c:pt idx="20">
                  <c:v>Cehia</c:v>
                </c:pt>
                <c:pt idx="21">
                  <c:v>Estonia</c:v>
                </c:pt>
                <c:pt idx="22">
                  <c:v>Slovacia</c:v>
                </c:pt>
                <c:pt idx="23">
                  <c:v>Polonia</c:v>
                </c:pt>
                <c:pt idx="24">
                  <c:v>Ungaria</c:v>
                </c:pt>
                <c:pt idx="25">
                  <c:v>Bulgaria</c:v>
                </c:pt>
                <c:pt idx="26">
                  <c:v>Letonia</c:v>
                </c:pt>
                <c:pt idx="27">
                  <c:v>Lituania</c:v>
                </c:pt>
                <c:pt idx="28">
                  <c:v>România</c:v>
                </c:pt>
              </c:strCache>
            </c:strRef>
          </c:cat>
          <c:val>
            <c:numRef>
              <c:f>'[812018701p1g107(1).xlsx]g6-18'!$B$27:$B$55</c:f>
              <c:numCache>
                <c:formatCode>0.0</c:formatCode>
                <c:ptCount val="29"/>
                <c:pt idx="0">
                  <c:v>1.2</c:v>
                </c:pt>
                <c:pt idx="1">
                  <c:v>2.6999999999999997</c:v>
                </c:pt>
                <c:pt idx="2">
                  <c:v>3</c:v>
                </c:pt>
                <c:pt idx="3">
                  <c:v>2.7</c:v>
                </c:pt>
                <c:pt idx="4">
                  <c:v>2.1</c:v>
                </c:pt>
                <c:pt idx="5">
                  <c:v>3.6</c:v>
                </c:pt>
                <c:pt idx="6">
                  <c:v>3.1</c:v>
                </c:pt>
                <c:pt idx="7">
                  <c:v>4.4000000000000004</c:v>
                </c:pt>
                <c:pt idx="8">
                  <c:v>4.4000000000000004</c:v>
                </c:pt>
                <c:pt idx="9">
                  <c:v>3.5</c:v>
                </c:pt>
                <c:pt idx="10">
                  <c:v>3.2666666666666671</c:v>
                </c:pt>
                <c:pt idx="11">
                  <c:v>4.4000000000000004</c:v>
                </c:pt>
                <c:pt idx="12">
                  <c:v>4.5999999999999996</c:v>
                </c:pt>
                <c:pt idx="13">
                  <c:v>3.9</c:v>
                </c:pt>
                <c:pt idx="14">
                  <c:v>5.7</c:v>
                </c:pt>
                <c:pt idx="15">
                  <c:v>2.8</c:v>
                </c:pt>
                <c:pt idx="16">
                  <c:v>4.5999999999999996</c:v>
                </c:pt>
                <c:pt idx="17">
                  <c:v>6.7</c:v>
                </c:pt>
                <c:pt idx="18">
                  <c:v>4.4000000000000004</c:v>
                </c:pt>
                <c:pt idx="19">
                  <c:v>6.0488095238095232</c:v>
                </c:pt>
                <c:pt idx="20">
                  <c:v>7.6</c:v>
                </c:pt>
                <c:pt idx="21">
                  <c:v>8.6999999999999993</c:v>
                </c:pt>
                <c:pt idx="22">
                  <c:v>9.8000000000000007</c:v>
                </c:pt>
                <c:pt idx="23">
                  <c:v>12</c:v>
                </c:pt>
                <c:pt idx="24">
                  <c:v>9.5</c:v>
                </c:pt>
                <c:pt idx="25">
                  <c:v>8.5</c:v>
                </c:pt>
                <c:pt idx="26">
                  <c:v>9.5</c:v>
                </c:pt>
                <c:pt idx="27">
                  <c:v>14.7</c:v>
                </c:pt>
                <c:pt idx="28">
                  <c:v>18</c:v>
                </c:pt>
              </c:numCache>
            </c:numRef>
          </c:val>
          <c:smooth val="0"/>
          <c:extLst xmlns:c16r2="http://schemas.microsoft.com/office/drawing/2015/06/chart">
            <c:ext xmlns:c16="http://schemas.microsoft.com/office/drawing/2014/chart" uri="{C3380CC4-5D6E-409C-BE32-E72D297353CC}">
              <c16:uniqueId val="{00000008-3C71-4B4E-9EBB-DAF7134D5021}"/>
            </c:ext>
          </c:extLst>
        </c:ser>
        <c:ser>
          <c:idx val="1"/>
          <c:order val="1"/>
          <c:tx>
            <c:strRef>
              <c:f>'[812018701p1g107(1).xlsx]g6-18'!$C$26</c:f>
              <c:strCache>
                <c:ptCount val="1"/>
                <c:pt idx="0">
                  <c:v>2015</c:v>
                </c:pt>
              </c:strCache>
            </c:strRef>
          </c:tx>
          <c:spPr>
            <a:ln w="19050">
              <a:noFill/>
            </a:ln>
          </c:spPr>
          <c:marker>
            <c:symbol val="circle"/>
            <c:size val="6"/>
            <c:spPr>
              <a:solidFill>
                <a:srgbClr val="4F81BD"/>
              </a:solidFill>
              <a:ln w="3175">
                <a:solidFill>
                  <a:srgbClr val="4F81BD"/>
                </a:solidFill>
                <a:prstDash val="solid"/>
              </a:ln>
              <a:effectLst/>
            </c:spPr>
          </c:marker>
          <c:dPt>
            <c:idx val="3"/>
            <c:bubble3D val="0"/>
            <c:extLst xmlns:c16r2="http://schemas.microsoft.com/office/drawing/2015/06/chart">
              <c:ext xmlns:c16="http://schemas.microsoft.com/office/drawing/2014/chart" uri="{C3380CC4-5D6E-409C-BE32-E72D297353CC}">
                <c16:uniqueId val="{00000009-3C71-4B4E-9EBB-DAF7134D5021}"/>
              </c:ext>
            </c:extLst>
          </c:dPt>
          <c:dPt>
            <c:idx val="15"/>
            <c:bubble3D val="0"/>
            <c:extLst xmlns:c16r2="http://schemas.microsoft.com/office/drawing/2015/06/chart">
              <c:ext xmlns:c16="http://schemas.microsoft.com/office/drawing/2014/chart" uri="{C3380CC4-5D6E-409C-BE32-E72D297353CC}">
                <c16:uniqueId val="{0000000A-3C71-4B4E-9EBB-DAF7134D5021}"/>
              </c:ext>
            </c:extLst>
          </c:dPt>
          <c:dPt>
            <c:idx val="16"/>
            <c:bubble3D val="0"/>
            <c:extLst xmlns:c16r2="http://schemas.microsoft.com/office/drawing/2015/06/chart">
              <c:ext xmlns:c16="http://schemas.microsoft.com/office/drawing/2014/chart" uri="{C3380CC4-5D6E-409C-BE32-E72D297353CC}">
                <c16:uniqueId val="{0000000B-3C71-4B4E-9EBB-DAF7134D5021}"/>
              </c:ext>
            </c:extLst>
          </c:dPt>
          <c:dPt>
            <c:idx val="17"/>
            <c:bubble3D val="0"/>
            <c:extLst xmlns:c16r2="http://schemas.microsoft.com/office/drawing/2015/06/chart">
              <c:ext xmlns:c16="http://schemas.microsoft.com/office/drawing/2014/chart" uri="{C3380CC4-5D6E-409C-BE32-E72D297353CC}">
                <c16:uniqueId val="{0000000C-3C71-4B4E-9EBB-DAF7134D5021}"/>
              </c:ext>
            </c:extLst>
          </c:dPt>
          <c:dPt>
            <c:idx val="18"/>
            <c:bubble3D val="0"/>
            <c:extLst xmlns:c16r2="http://schemas.microsoft.com/office/drawing/2015/06/chart">
              <c:ext xmlns:c16="http://schemas.microsoft.com/office/drawing/2014/chart" uri="{C3380CC4-5D6E-409C-BE32-E72D297353CC}">
                <c16:uniqueId val="{0000000D-3C71-4B4E-9EBB-DAF7134D5021}"/>
              </c:ext>
            </c:extLst>
          </c:dPt>
          <c:dPt>
            <c:idx val="19"/>
            <c:marker>
              <c:spPr>
                <a:solidFill>
                  <a:schemeClr val="tx1"/>
                </a:solidFill>
                <a:ln w="3175">
                  <a:solidFill>
                    <a:schemeClr val="tx1"/>
                  </a:solidFill>
                  <a:prstDash val="solid"/>
                </a:ln>
                <a:effectLst/>
              </c:spPr>
            </c:marker>
            <c:bubble3D val="0"/>
            <c:extLst xmlns:c16r2="http://schemas.microsoft.com/office/drawing/2015/06/chart">
              <c:ext xmlns:c16="http://schemas.microsoft.com/office/drawing/2014/chart" uri="{C3380CC4-5D6E-409C-BE32-E72D297353CC}">
                <c16:uniqueId val="{0000000E-3C71-4B4E-9EBB-DAF7134D5021}"/>
              </c:ext>
            </c:extLst>
          </c:dPt>
          <c:dPt>
            <c:idx val="28"/>
            <c:marker>
              <c:spPr>
                <a:solidFill>
                  <a:srgbClr val="FF0000"/>
                </a:solidFill>
                <a:ln w="3175">
                  <a:solidFill>
                    <a:srgbClr val="4F81BD"/>
                  </a:solidFill>
                  <a:prstDash val="solid"/>
                </a:ln>
                <a:effectLst/>
              </c:spPr>
            </c:marker>
            <c:bubble3D val="0"/>
            <c:extLst xmlns:c16r2="http://schemas.microsoft.com/office/drawing/2015/06/chart">
              <c:ext xmlns:c16="http://schemas.microsoft.com/office/drawing/2014/chart" uri="{C3380CC4-5D6E-409C-BE32-E72D297353CC}">
                <c16:uniqueId val="{0000000F-3C71-4B4E-9EBB-DAF7134D5021}"/>
              </c:ext>
            </c:extLst>
          </c:dPt>
          <c:dPt>
            <c:idx val="35"/>
            <c:bubble3D val="0"/>
            <c:extLst xmlns:c16r2="http://schemas.microsoft.com/office/drawing/2015/06/chart">
              <c:ext xmlns:c16="http://schemas.microsoft.com/office/drawing/2014/chart" uri="{C3380CC4-5D6E-409C-BE32-E72D297353CC}">
                <c16:uniqueId val="{00000010-3C71-4B4E-9EBB-DAF7134D5021}"/>
              </c:ext>
            </c:extLst>
          </c:dPt>
          <c:dLbls>
            <c:dLbl>
              <c:idx val="0"/>
              <c:layout>
                <c:manualLayout>
                  <c:x val="-2.1929783950617284E-2"/>
                  <c:y val="-5.6033838383838387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C71-4B4E-9EBB-DAF7134D5021}"/>
                </c:ext>
              </c:extLst>
            </c:dLbl>
            <c:dLbl>
              <c:idx val="1"/>
              <c:layout>
                <c:manualLayout>
                  <c:x val="-2.3179938271604934E-2"/>
                  <c:y val="3.4922727272727272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C71-4B4E-9EBB-DAF7134D5021}"/>
                </c:ext>
              </c:extLst>
            </c:dLbl>
            <c:dLbl>
              <c:idx val="2"/>
              <c:layout>
                <c:manualLayout>
                  <c:x val="-2.3784259259259258E-2"/>
                  <c:y val="3.5583333333333217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3C71-4B4E-9EBB-DAF7134D5021}"/>
                </c:ext>
              </c:extLst>
            </c:dLbl>
            <c:dLbl>
              <c:idx val="3"/>
              <c:layout>
                <c:manualLayout>
                  <c:x val="-2.3889705048118024E-2"/>
                  <c:y val="4.1759613054262124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C71-4B4E-9EBB-DAF7134D5021}"/>
                </c:ext>
              </c:extLst>
            </c:dLbl>
            <c:dLbl>
              <c:idx val="4"/>
              <c:layout>
                <c:manualLayout>
                  <c:x val="-2.3889660493827181E-2"/>
                  <c:y val="4.060101010101011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3C71-4B4E-9EBB-DAF7134D5021}"/>
                </c:ext>
              </c:extLst>
            </c:dLbl>
            <c:dLbl>
              <c:idx val="5"/>
              <c:layout>
                <c:manualLayout>
                  <c:x val="-2.3889644959782803E-2"/>
                  <c:y val="4.4543689004818671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C71-4B4E-9EBB-DAF7134D5021}"/>
                </c:ext>
              </c:extLst>
            </c:dLbl>
            <c:dLbl>
              <c:idx val="6"/>
              <c:layout>
                <c:manualLayout>
                  <c:x val="-2.0990277777777778E-2"/>
                  <c:y val="5.006262626262626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C71-4B4E-9EBB-DAF7134D5021}"/>
                </c:ext>
              </c:extLst>
            </c:dLbl>
            <c:dLbl>
              <c:idx val="7"/>
              <c:layout>
                <c:manualLayout>
                  <c:x val="-2.0990277777777778E-2"/>
                  <c:y val="5.0062626262626142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3C71-4B4E-9EBB-DAF7134D5021}"/>
                </c:ext>
              </c:extLst>
            </c:dLbl>
            <c:dLbl>
              <c:idx val="8"/>
              <c:layout>
                <c:manualLayout>
                  <c:x val="-2.2764944055761852E-2"/>
                  <c:y val="4.6576468963051447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3C71-4B4E-9EBB-DAF7134D5021}"/>
                </c:ext>
              </c:extLst>
            </c:dLbl>
            <c:dLbl>
              <c:idx val="9"/>
              <c:layout>
                <c:manualLayout>
                  <c:x val="-2.2841751693256473E-2"/>
                  <c:y val="4.492268187838757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3C71-4B4E-9EBB-DAF7134D5021}"/>
                </c:ext>
              </c:extLst>
            </c:dLbl>
            <c:dLbl>
              <c:idx val="10"/>
              <c:layout>
                <c:manualLayout>
                  <c:x val="-2.2018848001513432E-2"/>
                  <c:y val="4.9050648854651685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3C71-4B4E-9EBB-DAF7134D5021}"/>
                </c:ext>
              </c:extLst>
            </c:dLbl>
            <c:dLbl>
              <c:idx val="11"/>
              <c:layout>
                <c:manualLayout>
                  <c:x val="-2.0990277777777778E-2"/>
                  <c:y val="5.0062626262626142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3C71-4B4E-9EBB-DAF7134D5021}"/>
                </c:ext>
              </c:extLst>
            </c:dLbl>
            <c:dLbl>
              <c:idx val="12"/>
              <c:layout>
                <c:manualLayout>
                  <c:x val="-2.2035277061032438E-2"/>
                  <c:y val="4.4544014041588455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3C71-4B4E-9EBB-DAF7134D5021}"/>
                </c:ext>
              </c:extLst>
            </c:dLbl>
            <c:dLbl>
              <c:idx val="13"/>
              <c:layout>
                <c:manualLayout>
                  <c:x val="-1.9969907407407408E-2"/>
                  <c:y val="4.730606060606049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3C71-4B4E-9EBB-DAF7134D5021}"/>
                </c:ext>
              </c:extLst>
            </c:dLbl>
            <c:dLbl>
              <c:idx val="14"/>
              <c:layout>
                <c:manualLayout>
                  <c:x val="-2.0361574074074074E-2"/>
                  <c:y val="4.2939898989898875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3C71-4B4E-9EBB-DAF7134D5021}"/>
                </c:ext>
              </c:extLst>
            </c:dLbl>
            <c:dLbl>
              <c:idx val="15"/>
              <c:layout>
                <c:manualLayout>
                  <c:x val="-2.1039426064841438E-2"/>
                  <c:y val="-4.7593826556433808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C71-4B4E-9EBB-DAF7134D5021}"/>
                </c:ext>
              </c:extLst>
            </c:dLbl>
            <c:dLbl>
              <c:idx val="16"/>
              <c:layout>
                <c:manualLayout>
                  <c:x val="-2.124522065802853E-2"/>
                  <c:y val="4.3414864621742828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C71-4B4E-9EBB-DAF7134D5021}"/>
                </c:ext>
              </c:extLst>
            </c:dLbl>
            <c:dLbl>
              <c:idx val="17"/>
              <c:layout>
                <c:manualLayout>
                  <c:x val="-1.992319619139429E-2"/>
                  <c:y val="4.6125288150640285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C71-4B4E-9EBB-DAF7134D5021}"/>
                </c:ext>
              </c:extLst>
            </c:dLbl>
            <c:dLbl>
              <c:idx val="18"/>
              <c:layout>
                <c:manualLayout>
                  <c:x val="-2.2281285622252622E-2"/>
                  <c:y val="-4.514200298953662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5</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C71-4B4E-9EBB-DAF7134D5021}"/>
                </c:ext>
              </c:extLst>
            </c:dLbl>
            <c:dLbl>
              <c:idx val="19"/>
              <c:layout>
                <c:manualLayout>
                  <c:x val="-2.1245220658028648E-2"/>
                  <c:y val="5.2432235208267126E-2"/>
                </c:manualLayout>
              </c:layout>
              <c:tx>
                <c:rich>
                  <a:bodyPr rot="0" vert="horz"/>
                  <a:lstStyle/>
                  <a:p>
                    <a:pPr>
                      <a:defRPr sz="750" b="1" i="0">
                        <a:solidFill>
                          <a:srgbClr val="000000"/>
                        </a:solidFill>
                        <a:latin typeface="Arial Narrow" panose="020B0606020202030204" pitchFamily="34" charset="0"/>
                      </a:defRPr>
                    </a:pPr>
                    <a:r>
                      <a:rPr lang="en-US" sz="750" b="1" i="0">
                        <a:solidFill>
                          <a:srgbClr val="000000"/>
                        </a:solidFill>
                        <a:latin typeface="Arial Narrow" panose="020B0606020202030204" pitchFamily="34" charset="0"/>
                      </a:rPr>
                      <a:t>5</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C71-4B4E-9EBB-DAF7134D5021}"/>
                </c:ext>
              </c:extLst>
            </c:dLbl>
            <c:dLbl>
              <c:idx val="20"/>
              <c:layout>
                <c:manualLayout>
                  <c:x val="-1.9963215324592529E-2"/>
                  <c:y val="4.0891749517857352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6</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3C71-4B4E-9EBB-DAF7134D5021}"/>
                </c:ext>
              </c:extLst>
            </c:dLbl>
            <c:dLbl>
              <c:idx val="21"/>
              <c:layout>
                <c:manualLayout>
                  <c:x val="-2.388966049382716E-2"/>
                  <c:y val="4.2473232323232267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8</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3C71-4B4E-9EBB-DAF7134D5021}"/>
                </c:ext>
              </c:extLst>
            </c:dLbl>
            <c:dLbl>
              <c:idx val="22"/>
              <c:layout>
                <c:manualLayout>
                  <c:x val="-2.2841751693256473E-2"/>
                  <c:y val="3.6666747925859111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8</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3C71-4B4E-9EBB-DAF7134D5021}"/>
                </c:ext>
              </c:extLst>
            </c:dLbl>
            <c:dLbl>
              <c:idx val="23"/>
              <c:layout>
                <c:manualLayout>
                  <c:x val="-2.2841751693256473E-2"/>
                  <c:y val="4.0794714902123302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8</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3C71-4B4E-9EBB-DAF7134D5021}"/>
                </c:ext>
              </c:extLst>
            </c:dLbl>
            <c:dLbl>
              <c:idx val="24"/>
              <c:layout>
                <c:manualLayout>
                  <c:x val="-2.2281285622252563E-2"/>
                  <c:y val="3.6526151719824179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9</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3C71-4B4E-9EBB-DAF7134D5021}"/>
                </c:ext>
              </c:extLst>
            </c:dLbl>
            <c:dLbl>
              <c:idx val="25"/>
              <c:layout>
                <c:manualLayout>
                  <c:x val="-2.2607624232340386E-2"/>
                  <c:y val="-4.5795405605259097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9</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3C71-4B4E-9EBB-DAF7134D5021}"/>
                </c:ext>
              </c:extLst>
            </c:dLbl>
            <c:dLbl>
              <c:idx val="26"/>
              <c:layout>
                <c:manualLayout>
                  <c:x val="-2.7914969135802613E-2"/>
                  <c:y val="-4.0086363636363635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10</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3C71-4B4E-9EBB-DAF7134D5021}"/>
                </c:ext>
              </c:extLst>
            </c:dLbl>
            <c:dLbl>
              <c:idx val="27"/>
              <c:layout>
                <c:manualLayout>
                  <c:x val="-2.6021365612627967E-2"/>
                  <c:y val="4.4922681878387494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12</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3C71-4B4E-9EBB-DAF7134D5021}"/>
                </c:ext>
              </c:extLst>
            </c:dLbl>
            <c:dLbl>
              <c:idx val="28"/>
              <c:layout>
                <c:manualLayout>
                  <c:x val="-2.4453106776322946E-2"/>
                  <c:y val="4.0794714902123302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16</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C71-4B4E-9EBB-DAF7134D5021}"/>
                </c:ext>
              </c:extLst>
            </c:dLbl>
            <c:dLbl>
              <c:idx val="29"/>
              <c:tx>
                <c:rich>
                  <a:bodyPr rot="0" vert="horz"/>
                  <a:lstStyle/>
                  <a:p>
                    <a:pPr>
                      <a:defRPr sz="750" b="0" i="0">
                        <a:solidFill>
                          <a:srgbClr val="000000"/>
                        </a:solidFill>
                        <a:latin typeface="Arial Narrow" panose="020B0606020202030204" pitchFamily="34" charset="0"/>
                      </a:defRPr>
                    </a:pPr>
                    <a:endParaRPr lang="en-GB" sz="750" b="0" i="0">
                      <a:solidFill>
                        <a:srgbClr val="000000"/>
                      </a:solidFill>
                      <a:latin typeface="Arial Narrow" panose="020B0606020202030204" pitchFamily="34" charset="0"/>
                    </a:endParaRPr>
                  </a:p>
                </c:rich>
              </c:tx>
              <c:numFmt formatCode="#,##0" sourceLinked="0"/>
              <c:spPr>
                <a:noFill/>
                <a:ln w="25400">
                  <a:noFill/>
                </a:ln>
              </c:spPr>
              <c:dLblPos val="b"/>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3C71-4B4E-9EBB-DAF7134D5021}"/>
                </c:ext>
              </c:extLst>
            </c:dLbl>
            <c:dLbl>
              <c:idx val="30"/>
              <c:layout>
                <c:manualLayout>
                  <c:x val="-2.1039488880982993E-2"/>
                  <c:y val="3.7631782095349536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3C71-4B4E-9EBB-DAF7134D5021}"/>
                </c:ext>
              </c:extLst>
            </c:dLbl>
            <c:dLbl>
              <c:idx val="31"/>
              <c:layout>
                <c:manualLayout>
                  <c:x val="-2.1929783950617284E-2"/>
                  <c:y val="4.0416161616161614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3C71-4B4E-9EBB-DAF7134D5021}"/>
                </c:ext>
              </c:extLst>
            </c:dLbl>
            <c:dLbl>
              <c:idx val="32"/>
              <c:layout>
                <c:manualLayout>
                  <c:x val="-2.2624074074074074E-2"/>
                  <c:y val="4.3009090909090907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3C71-4B4E-9EBB-DAF7134D5021}"/>
                </c:ext>
              </c:extLst>
            </c:dLbl>
            <c:dLbl>
              <c:idx val="33"/>
              <c:layout>
                <c:manualLayout>
                  <c:x val="-2.0736882716049381E-2"/>
                  <c:y val="4.9494949494949494E-2"/>
                </c:manualLayout>
              </c:layout>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numFmt formatCode="#,##0" sourceLinked="0"/>
              <c:spPr>
                <a:noFill/>
                <a:ln w="25400">
                  <a:noFill/>
                </a:ln>
              </c:spPr>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3C71-4B4E-9EBB-DAF7134D5021}"/>
                </c:ext>
              </c:extLst>
            </c:dLbl>
            <c:dLbl>
              <c:idx val="34"/>
              <c:tx>
                <c:rich>
                  <a:bodyPr rot="0" vert="horz"/>
                  <a:lstStyle/>
                  <a:p>
                    <a:pPr>
                      <a:defRPr sz="750" b="0" i="0">
                        <a:solidFill>
                          <a:srgbClr val="000000"/>
                        </a:solidFill>
                        <a:latin typeface="Arial Narrow" panose="020B0606020202030204" pitchFamily="34" charset="0"/>
                      </a:defRPr>
                    </a:pPr>
                    <a:endParaRPr lang="en-GB" sz="750" b="0" i="0">
                      <a:solidFill>
                        <a:srgbClr val="000000"/>
                      </a:solidFill>
                      <a:latin typeface="Arial Narrow" panose="020B0606020202030204" pitchFamily="34" charset="0"/>
                    </a:endParaRPr>
                  </a:p>
                </c:rich>
              </c:tx>
              <c:numFmt formatCode="#,##0" sourceLinked="0"/>
              <c:spPr>
                <a:noFill/>
                <a:ln w="25400">
                  <a:noFill/>
                </a:ln>
              </c:spPr>
              <c:dLblPos val="b"/>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3C71-4B4E-9EBB-DAF7134D5021}"/>
                </c:ext>
              </c:extLst>
            </c:dLbl>
            <c:dLbl>
              <c:idx val="35"/>
              <c:tx>
                <c:rich>
                  <a:bodyPr rot="0" vert="horz"/>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11</a:t>
                    </a:r>
                  </a:p>
                </c:rich>
              </c:tx>
              <c:numFmt formatCode="#,##0" sourceLinked="0"/>
              <c:spPr>
                <a:noFill/>
                <a:ln w="25400">
                  <a:noFill/>
                </a:ln>
              </c:spPr>
              <c:dLblPos val="b"/>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C71-4B4E-9EBB-DAF7134D5021}"/>
                </c:ext>
              </c:extLst>
            </c:dLbl>
            <c:dLbl>
              <c:idx val="40"/>
              <c:layout>
                <c:manualLayout>
                  <c:x val="-2.8328200274216595E-2"/>
                  <c:y val="-6.80967581754983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3C71-4B4E-9EBB-DAF7134D5021}"/>
                </c:ext>
              </c:extLst>
            </c:dLbl>
            <c:numFmt formatCode="#,##0" sourceLinked="0"/>
            <c:spPr>
              <a:noFill/>
              <a:ln w="25400">
                <a:noFill/>
              </a:ln>
            </c:spPr>
            <c:txPr>
              <a:bodyPr rot="0" vert="horz"/>
              <a:lstStyle/>
              <a:p>
                <a:pPr>
                  <a:defRPr sz="800"/>
                </a:pPr>
                <a:endParaRPr lang="ro-RO"/>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'[812018701p1g107(1).xlsx]g6-18'!$A$27:$A$55</c:f>
              <c:strCache>
                <c:ptCount val="29"/>
                <c:pt idx="0">
                  <c:v>Italia</c:v>
                </c:pt>
                <c:pt idx="1">
                  <c:v>Malta</c:v>
                </c:pt>
                <c:pt idx="2">
                  <c:v>Finlanda</c:v>
                </c:pt>
                <c:pt idx="3">
                  <c:v>Franța</c:v>
                </c:pt>
                <c:pt idx="4">
                  <c:v>Grecia</c:v>
                </c:pt>
                <c:pt idx="5">
                  <c:v>Olanda</c:v>
                </c:pt>
                <c:pt idx="6">
                  <c:v>Spania</c:v>
                </c:pt>
                <c:pt idx="7">
                  <c:v>Marea Britanie</c:v>
                </c:pt>
                <c:pt idx="8">
                  <c:v>Belgia</c:v>
                </c:pt>
                <c:pt idx="9">
                  <c:v>Austria</c:v>
                </c:pt>
                <c:pt idx="10">
                  <c:v>Luxemburg</c:v>
                </c:pt>
                <c:pt idx="11">
                  <c:v>Germania</c:v>
                </c:pt>
                <c:pt idx="12">
                  <c:v>Portugalia</c:v>
                </c:pt>
                <c:pt idx="13">
                  <c:v>Suedia</c:v>
                </c:pt>
                <c:pt idx="14">
                  <c:v>Danemarca</c:v>
                </c:pt>
                <c:pt idx="15">
                  <c:v>Cipru</c:v>
                </c:pt>
                <c:pt idx="16">
                  <c:v>Irlanda</c:v>
                </c:pt>
                <c:pt idx="17">
                  <c:v>Slovenia</c:v>
                </c:pt>
                <c:pt idx="18">
                  <c:v>Croația</c:v>
                </c:pt>
                <c:pt idx="19">
                  <c:v>EU28</c:v>
                </c:pt>
                <c:pt idx="20">
                  <c:v>Cehia</c:v>
                </c:pt>
                <c:pt idx="21">
                  <c:v>Estonia</c:v>
                </c:pt>
                <c:pt idx="22">
                  <c:v>Slovacia</c:v>
                </c:pt>
                <c:pt idx="23">
                  <c:v>Polonia</c:v>
                </c:pt>
                <c:pt idx="24">
                  <c:v>Ungaria</c:v>
                </c:pt>
                <c:pt idx="25">
                  <c:v>Bulgaria</c:v>
                </c:pt>
                <c:pt idx="26">
                  <c:v>Letonia</c:v>
                </c:pt>
                <c:pt idx="27">
                  <c:v>Lituania</c:v>
                </c:pt>
                <c:pt idx="28">
                  <c:v>România</c:v>
                </c:pt>
              </c:strCache>
            </c:strRef>
          </c:cat>
          <c:val>
            <c:numRef>
              <c:f>'[812018701p1g107(1).xlsx]g6-18'!$C$27:$C$55</c:f>
              <c:numCache>
                <c:formatCode>0.0</c:formatCode>
                <c:ptCount val="29"/>
                <c:pt idx="0">
                  <c:v>1.22</c:v>
                </c:pt>
                <c:pt idx="1">
                  <c:v>1.99</c:v>
                </c:pt>
                <c:pt idx="2">
                  <c:v>2.06</c:v>
                </c:pt>
                <c:pt idx="3">
                  <c:v>2.2000000000000002</c:v>
                </c:pt>
                <c:pt idx="4">
                  <c:v>2.21</c:v>
                </c:pt>
                <c:pt idx="5">
                  <c:v>2.4</c:v>
                </c:pt>
                <c:pt idx="6">
                  <c:v>2.58</c:v>
                </c:pt>
                <c:pt idx="7">
                  <c:v>2.65</c:v>
                </c:pt>
                <c:pt idx="8">
                  <c:v>2.73</c:v>
                </c:pt>
                <c:pt idx="9">
                  <c:v>2.92</c:v>
                </c:pt>
                <c:pt idx="10">
                  <c:v>3.1266666666666669</c:v>
                </c:pt>
                <c:pt idx="11">
                  <c:v>3.23</c:v>
                </c:pt>
                <c:pt idx="12">
                  <c:v>3.23</c:v>
                </c:pt>
                <c:pt idx="13">
                  <c:v>3.26</c:v>
                </c:pt>
                <c:pt idx="14">
                  <c:v>3.43</c:v>
                </c:pt>
                <c:pt idx="15">
                  <c:v>3.91</c:v>
                </c:pt>
                <c:pt idx="16">
                  <c:v>4.17</c:v>
                </c:pt>
                <c:pt idx="17">
                  <c:v>4.32</c:v>
                </c:pt>
                <c:pt idx="18">
                  <c:v>4.7699999999999996</c:v>
                </c:pt>
                <c:pt idx="19">
                  <c:v>5.0580952380952384</c:v>
                </c:pt>
                <c:pt idx="20">
                  <c:v>6.32</c:v>
                </c:pt>
                <c:pt idx="21">
                  <c:v>7.54</c:v>
                </c:pt>
                <c:pt idx="22">
                  <c:v>7.96</c:v>
                </c:pt>
                <c:pt idx="23">
                  <c:v>8</c:v>
                </c:pt>
                <c:pt idx="24">
                  <c:v>8.66</c:v>
                </c:pt>
                <c:pt idx="25">
                  <c:v>9.44</c:v>
                </c:pt>
                <c:pt idx="26">
                  <c:v>9.89</c:v>
                </c:pt>
                <c:pt idx="27">
                  <c:v>11.72</c:v>
                </c:pt>
                <c:pt idx="28">
                  <c:v>15.69</c:v>
                </c:pt>
              </c:numCache>
            </c:numRef>
          </c:val>
          <c:smooth val="0"/>
          <c:extLst xmlns:c16r2="http://schemas.microsoft.com/office/drawing/2015/06/chart">
            <c:ext xmlns:c16="http://schemas.microsoft.com/office/drawing/2014/chart" uri="{C3380CC4-5D6E-409C-BE32-E72D297353CC}">
              <c16:uniqueId val="{0000002E-3C71-4B4E-9EBB-DAF7134D5021}"/>
            </c:ext>
          </c:extLst>
        </c:ser>
        <c:dLbls>
          <c:showLegendKey val="0"/>
          <c:showVal val="0"/>
          <c:showCatName val="0"/>
          <c:showSerName val="0"/>
          <c:showPercent val="0"/>
          <c:showBubbleSize val="0"/>
        </c:dLbls>
        <c:hiLowLines>
          <c:spPr>
            <a:ln w="6350">
              <a:solidFill>
                <a:srgbClr val="000000"/>
              </a:solidFill>
            </a:ln>
          </c:spPr>
        </c:hiLowLines>
        <c:marker val="1"/>
        <c:smooth val="0"/>
        <c:axId val="253239680"/>
        <c:axId val="253241216"/>
      </c:lineChart>
      <c:catAx>
        <c:axId val="253239680"/>
        <c:scaling>
          <c:orientation val="minMax"/>
        </c:scaling>
        <c:delete val="0"/>
        <c:axPos val="b"/>
        <c:majorGridlines>
          <c:spPr>
            <a:ln w="9525" cmpd="sng">
              <a:solidFill>
                <a:srgbClr val="FFFFFF"/>
              </a:solidFill>
              <a:prstDash val="solid"/>
            </a:ln>
          </c:spPr>
        </c:majorGridlines>
        <c:numFmt formatCode="General" sourceLinked="0"/>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2700000" vert="horz"/>
          <a:lstStyle/>
          <a:p>
            <a:pPr>
              <a:defRPr sz="750" b="0" i="0">
                <a:solidFill>
                  <a:srgbClr val="000000"/>
                </a:solidFill>
                <a:latin typeface="Arial Narrow"/>
                <a:ea typeface="Arial Narrow"/>
                <a:cs typeface="Arial Narrow"/>
              </a:defRPr>
            </a:pPr>
            <a:endParaRPr lang="ro-RO"/>
          </a:p>
        </c:txPr>
        <c:crossAx val="253241216"/>
        <c:crosses val="autoZero"/>
        <c:auto val="1"/>
        <c:lblAlgn val="ctr"/>
        <c:lblOffset val="0"/>
        <c:tickLblSkip val="1"/>
        <c:noMultiLvlLbl val="0"/>
      </c:catAx>
      <c:valAx>
        <c:axId val="253241216"/>
        <c:scaling>
          <c:orientation val="minMax"/>
        </c:scaling>
        <c:delete val="0"/>
        <c:axPos val="l"/>
        <c:majorGridlines>
          <c:spPr>
            <a:ln w="9525" cmpd="sng">
              <a:solidFill>
                <a:srgbClr val="FFFFFF"/>
              </a:solidFill>
              <a:prstDash val="solid"/>
            </a:ln>
          </c:spPr>
        </c:majorGridlines>
        <c:numFmt formatCode="General" sourceLinked="0"/>
        <c:majorTickMark val="in"/>
        <c:minorTickMark val="none"/>
        <c:tickLblPos val="nextTo"/>
        <c:spPr>
          <a:noFill/>
          <a:ln w="9525">
            <a:solidFill>
              <a:srgbClr val="000000"/>
            </a:solidFill>
            <a:prstDash val="solid"/>
          </a:ln>
        </c:spPr>
        <c:txPr>
          <a:bodyPr rot="-60000000" vert="horz"/>
          <a:lstStyle/>
          <a:p>
            <a:pPr>
              <a:defRPr sz="750" b="0" i="0">
                <a:solidFill>
                  <a:srgbClr val="000000"/>
                </a:solidFill>
                <a:latin typeface="Arial Narrow"/>
                <a:ea typeface="Arial Narrow"/>
                <a:cs typeface="Arial Narrow"/>
              </a:defRPr>
            </a:pPr>
            <a:endParaRPr lang="ro-RO"/>
          </a:p>
        </c:txPr>
        <c:crossAx val="253239680"/>
        <c:crosses val="autoZero"/>
        <c:crossBetween val="between"/>
      </c:valAx>
      <c:spPr>
        <a:solidFill>
          <a:srgbClr val="F4FFFF"/>
        </a:solidFill>
        <a:ln w="9525">
          <a:solidFill>
            <a:srgbClr val="000000"/>
          </a:solidFill>
        </a:ln>
      </c:spPr>
    </c:plotArea>
    <c:legend>
      <c:legendPos val="r"/>
      <c:layout>
        <c:manualLayout>
          <c:xMode val="edge"/>
          <c:yMode val="edge"/>
          <c:x val="4.2973372172847371E-2"/>
          <c:y val="2.7131885643341371E-2"/>
          <c:w val="0.93147687790874578"/>
          <c:h val="7.3643689603355142E-2"/>
        </c:manualLayout>
      </c:layout>
      <c:overlay val="1"/>
      <c:spPr>
        <a:solidFill>
          <a:srgbClr val="EAEAEA"/>
        </a:solidFill>
        <a:ln w="25400">
          <a:noFill/>
        </a:ln>
      </c:spPr>
      <c:txPr>
        <a:bodyPr/>
        <a:lstStyle/>
        <a:p>
          <a:pPr>
            <a:defRPr sz="750" b="0" i="0">
              <a:solidFill>
                <a:srgbClr val="000000"/>
              </a:solidFill>
              <a:latin typeface="Arial Narrow"/>
              <a:ea typeface="Arial Narrow"/>
              <a:cs typeface="Arial Narrow"/>
            </a:defRPr>
          </a:pPr>
          <a:endParaRPr lang="ro-RO"/>
        </a:p>
      </c:txPr>
    </c:legend>
    <c:plotVisOnly val="1"/>
    <c:dispBlanksAs val="gap"/>
    <c:showDLblsOverMax val="1"/>
  </c:chart>
  <c:spPr>
    <a:noFill/>
    <a:ln>
      <a:noFill/>
    </a:ln>
    <a:extLst>
      <a:ext uri="{909E8E84-426E-40DD-AFC4-6F175D3DCCD1}">
        <a14:hiddenFill xmlns:a14="http://schemas.microsoft.com/office/drawing/2010/main">
          <a:solidFill>
            <a:sysClr val="window" lastClr="FFFFFF"/>
          </a:solidFill>
        </a14:hiddenFill>
      </a:ext>
    </a:ex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8.7445796086387494E-3"/>
          <c:y val="0.11719604732950208"/>
          <c:w val="0.98906927548920154"/>
          <c:h val="0.87550076425369983"/>
        </c:manualLayout>
      </c:layout>
      <c:barChart>
        <c:barDir val="col"/>
        <c:grouping val="stacked"/>
        <c:varyColors val="0"/>
        <c:ser>
          <c:idx val="0"/>
          <c:order val="0"/>
          <c:tx>
            <c:strRef>
              <c:f>'[812018701p1g080(1).xlsx]g5-6'!$B$34</c:f>
              <c:strCache>
                <c:ptCount val="1"/>
                <c:pt idx="0">
                  <c:v>Îngrijiri spitalicești</c:v>
                </c:pt>
              </c:strCache>
            </c:strRef>
          </c:tx>
          <c:spPr>
            <a:solidFill>
              <a:srgbClr val="4F81BD"/>
            </a:solidFill>
            <a:ln w="3175">
              <a:solidFill>
                <a:srgbClr val="000000"/>
              </a:solidFill>
              <a:prstDash val="solid"/>
            </a:ln>
          </c:spPr>
          <c:invertIfNegative val="0"/>
          <c:dPt>
            <c:idx val="13"/>
            <c:invertIfNegative val="0"/>
            <c:bubble3D val="0"/>
            <c:spPr>
              <a:solidFill>
                <a:srgbClr val="000000"/>
              </a:solidFill>
              <a:ln w="3175">
                <a:solidFill>
                  <a:srgbClr val="000000"/>
                </a:solidFill>
                <a:prstDash val="solid"/>
              </a:ln>
            </c:spPr>
            <c:extLst xmlns:c16r2="http://schemas.microsoft.com/office/drawing/2015/06/chart">
              <c:ext xmlns:c16="http://schemas.microsoft.com/office/drawing/2014/chart" uri="{C3380CC4-5D6E-409C-BE32-E72D297353CC}">
                <c16:uniqueId val="{00000001-E6CF-4B6A-B619-B62F524E944A}"/>
              </c:ext>
            </c:extLst>
          </c:dPt>
          <c:dPt>
            <c:idx val="24"/>
            <c:invertIfNegative val="0"/>
            <c:bubble3D val="0"/>
            <c:spPr>
              <a:solidFill>
                <a:srgbClr val="FF0000"/>
              </a:solidFill>
              <a:ln w="3175">
                <a:solidFill>
                  <a:srgbClr val="000000"/>
                </a:solidFill>
                <a:prstDash val="solid"/>
              </a:ln>
            </c:spPr>
            <c:extLst xmlns:c16r2="http://schemas.microsoft.com/office/drawing/2015/06/chart">
              <c:ext xmlns:c16="http://schemas.microsoft.com/office/drawing/2014/chart" uri="{C3380CC4-5D6E-409C-BE32-E72D297353CC}">
                <c16:uniqueId val="{00000003-E6CF-4B6A-B619-B62F524E944A}"/>
              </c:ext>
            </c:extLst>
          </c:dPt>
          <c:dLbls>
            <c:dLbl>
              <c:idx val="0"/>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6CF-4B6A-B619-B62F524E944A}"/>
                </c:ext>
              </c:extLst>
            </c:dLbl>
            <c:dLbl>
              <c:idx val="1"/>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6CF-4B6A-B619-B62F524E944A}"/>
                </c:ext>
              </c:extLst>
            </c:dLbl>
            <c:dLbl>
              <c:idx val="2"/>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6CF-4B6A-B619-B62F524E944A}"/>
                </c:ext>
              </c:extLst>
            </c:dLbl>
            <c:dLbl>
              <c:idx val="3"/>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6CF-4B6A-B619-B62F524E944A}"/>
                </c:ext>
              </c:extLst>
            </c:dLbl>
            <c:dLbl>
              <c:idx val="4"/>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42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6CF-4B6A-B619-B62F524E944A}"/>
                </c:ext>
              </c:extLst>
            </c:dLbl>
            <c:dLbl>
              <c:idx val="5"/>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6CF-4B6A-B619-B62F524E944A}"/>
                </c:ext>
              </c:extLst>
            </c:dLbl>
            <c:dLbl>
              <c:idx val="6"/>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6CF-4B6A-B619-B62F524E944A}"/>
                </c:ext>
              </c:extLst>
            </c:dLbl>
            <c:dLbl>
              <c:idx val="7"/>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6CF-4B6A-B619-B62F524E944A}"/>
                </c:ext>
              </c:extLst>
            </c:dLbl>
            <c:dLbl>
              <c:idx val="8"/>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6CF-4B6A-B619-B62F524E944A}"/>
                </c:ext>
              </c:extLst>
            </c:dLbl>
            <c:dLbl>
              <c:idx val="9"/>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6CF-4B6A-B619-B62F524E944A}"/>
                </c:ext>
              </c:extLst>
            </c:dLbl>
            <c:dLbl>
              <c:idx val="10"/>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6CF-4B6A-B619-B62F524E944A}"/>
                </c:ext>
              </c:extLst>
            </c:dLbl>
            <c:dLbl>
              <c:idx val="11"/>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6CF-4B6A-B619-B62F524E944A}"/>
                </c:ext>
              </c:extLst>
            </c:dLbl>
            <c:dLbl>
              <c:idx val="12"/>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6CF-4B6A-B619-B62F524E944A}"/>
                </c:ext>
              </c:extLst>
            </c:dLbl>
            <c:dLbl>
              <c:idx val="13"/>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6CF-4B6A-B619-B62F524E944A}"/>
                </c:ext>
              </c:extLst>
            </c:dLbl>
            <c:dLbl>
              <c:idx val="14"/>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6CF-4B6A-B619-B62F524E944A}"/>
                </c:ext>
              </c:extLst>
            </c:dLbl>
            <c:dLbl>
              <c:idx val="15"/>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6CF-4B6A-B619-B62F524E944A}"/>
                </c:ext>
              </c:extLst>
            </c:dLbl>
            <c:dLbl>
              <c:idx val="16"/>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E6CF-4B6A-B619-B62F524E944A}"/>
                </c:ext>
              </c:extLst>
            </c:dLbl>
            <c:dLbl>
              <c:idx val="17"/>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6CF-4B6A-B619-B62F524E944A}"/>
                </c:ext>
              </c:extLst>
            </c:dLbl>
            <c:dLbl>
              <c:idx val="18"/>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6CF-4B6A-B619-B62F524E944A}"/>
                </c:ext>
              </c:extLst>
            </c:dLbl>
            <c:dLbl>
              <c:idx val="19"/>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6CF-4B6A-B619-B62F524E944A}"/>
                </c:ext>
              </c:extLst>
            </c:dLbl>
            <c:dLbl>
              <c:idx val="20"/>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6CF-4B6A-B619-B62F524E944A}"/>
                </c:ext>
              </c:extLst>
            </c:dLbl>
            <c:dLbl>
              <c:idx val="21"/>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E6CF-4B6A-B619-B62F524E944A}"/>
                </c:ext>
              </c:extLst>
            </c:dLbl>
            <c:dLbl>
              <c:idx val="22"/>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E6CF-4B6A-B619-B62F524E944A}"/>
                </c:ext>
              </c:extLst>
            </c:dLbl>
            <c:dLbl>
              <c:idx val="23"/>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E6CF-4B6A-B619-B62F524E944A}"/>
                </c:ext>
              </c:extLst>
            </c:dLbl>
            <c:dLbl>
              <c:idx val="24"/>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6CF-4B6A-B619-B62F524E944A}"/>
                </c:ext>
              </c:extLst>
            </c:dLbl>
            <c:dLbl>
              <c:idx val="25"/>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E6CF-4B6A-B619-B62F524E944A}"/>
                </c:ext>
              </c:extLst>
            </c:dLbl>
            <c:dLbl>
              <c:idx val="26"/>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E6CF-4B6A-B619-B62F524E944A}"/>
                </c:ext>
              </c:extLst>
            </c:dLbl>
            <c:dLbl>
              <c:idx val="27"/>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E6CF-4B6A-B619-B62F524E944A}"/>
                </c:ext>
              </c:extLst>
            </c:dLbl>
            <c:dLbl>
              <c:idx val="28"/>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E6CF-4B6A-B619-B62F524E944A}"/>
                </c:ext>
              </c:extLst>
            </c:dLbl>
            <c:dLbl>
              <c:idx val="29"/>
              <c:tx>
                <c:rich>
                  <a:bodyPr wrap="square" lIns="38100" tIns="19050" rIns="38100" bIns="19050" anchor="ctr">
                    <a:spAutoFit/>
                  </a:bodyPr>
                  <a:lstStyle/>
                  <a:p>
                    <a:pPr>
                      <a:defRPr sz="750" b="0" i="0">
                        <a:solidFill>
                          <a:schemeClr val="bg1"/>
                        </a:solidFill>
                        <a:latin typeface="Arial Narrow" panose="020B0606020202030204" pitchFamily="34" charset="0"/>
                      </a:defRPr>
                    </a:pPr>
                    <a:endParaRPr lang="en-GB" sz="750" b="0" i="0">
                      <a:solidFill>
                        <a:schemeClr val="bg1"/>
                      </a:solidFill>
                      <a:latin typeface="Arial Narrow" panose="020B0606020202030204" pitchFamily="34" charset="0"/>
                    </a:endParaRP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E6CF-4B6A-B619-B62F524E944A}"/>
                </c:ext>
              </c:extLst>
            </c:dLbl>
            <c:dLbl>
              <c:idx val="30"/>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31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E6CF-4B6A-B619-B62F524E944A}"/>
                </c:ext>
              </c:extLst>
            </c:dLbl>
            <c:dLbl>
              <c:idx val="31"/>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E6CF-4B6A-B619-B62F524E944A}"/>
                </c:ext>
              </c:extLst>
            </c:dLbl>
            <c:dLbl>
              <c:idx val="32"/>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E6CF-4B6A-B619-B62F524E944A}"/>
                </c:ext>
              </c:extLst>
            </c:dLbl>
            <c:spPr>
              <a:noFill/>
              <a:ln w="25400">
                <a:noFill/>
              </a:ln>
            </c:spPr>
            <c:txPr>
              <a:bodyPr wrap="square" lIns="38100" tIns="19050" rIns="38100" bIns="19050" anchor="ctr">
                <a:spAutoFit/>
              </a:bodyPr>
              <a:lstStyle/>
              <a:p>
                <a:pPr>
                  <a:defRPr>
                    <a:solidFill>
                      <a:schemeClr val="bg1"/>
                    </a:solidFill>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'[812018701p1g080(1).xlsx]g5-6'!$A$35:$A$63</c:f>
              <c:strCache>
                <c:ptCount val="29"/>
                <c:pt idx="0">
                  <c:v>Portugalia</c:v>
                </c:pt>
                <c:pt idx="1">
                  <c:v>Cipru</c:v>
                </c:pt>
                <c:pt idx="2">
                  <c:v>Estonia</c:v>
                </c:pt>
                <c:pt idx="3">
                  <c:v>Polonia</c:v>
                </c:pt>
                <c:pt idx="4">
                  <c:v>Grecia</c:v>
                </c:pt>
                <c:pt idx="5">
                  <c:v>Italia</c:v>
                </c:pt>
                <c:pt idx="6">
                  <c:v>Spania</c:v>
                </c:pt>
                <c:pt idx="7">
                  <c:v>Austria</c:v>
                </c:pt>
                <c:pt idx="8">
                  <c:v>Slovenia</c:v>
                </c:pt>
                <c:pt idx="9">
                  <c:v>Finlanda</c:v>
                </c:pt>
                <c:pt idx="10">
                  <c:v>Croația</c:v>
                </c:pt>
                <c:pt idx="11">
                  <c:v>Slovacia</c:v>
                </c:pt>
                <c:pt idx="12">
                  <c:v>Danemarca</c:v>
                </c:pt>
                <c:pt idx="13">
                  <c:v>EU28</c:v>
                </c:pt>
                <c:pt idx="14">
                  <c:v>Ungaria</c:v>
                </c:pt>
                <c:pt idx="15">
                  <c:v>Luxemburg</c:v>
                </c:pt>
                <c:pt idx="16">
                  <c:v>Letonia</c:v>
                </c:pt>
                <c:pt idx="17">
                  <c:v>Marea Britanie</c:v>
                </c:pt>
                <c:pt idx="18">
                  <c:v>Franța</c:v>
                </c:pt>
                <c:pt idx="19">
                  <c:v>Cehia</c:v>
                </c:pt>
                <c:pt idx="20">
                  <c:v>Lituania</c:v>
                </c:pt>
                <c:pt idx="21">
                  <c:v>Irlanda</c:v>
                </c:pt>
                <c:pt idx="22">
                  <c:v>Germania</c:v>
                </c:pt>
                <c:pt idx="23">
                  <c:v>Suedia</c:v>
                </c:pt>
                <c:pt idx="24">
                  <c:v>România</c:v>
                </c:pt>
                <c:pt idx="25">
                  <c:v>Belgia</c:v>
                </c:pt>
                <c:pt idx="26">
                  <c:v>Malta</c:v>
                </c:pt>
                <c:pt idx="27">
                  <c:v>Olanda</c:v>
                </c:pt>
                <c:pt idx="28">
                  <c:v>Bulgaria</c:v>
                </c:pt>
              </c:strCache>
            </c:strRef>
          </c:cat>
          <c:val>
            <c:numRef>
              <c:f>'[812018701p1g080(1).xlsx]g5-6'!$B$35:$B$63</c:f>
              <c:numCache>
                <c:formatCode>0</c:formatCode>
                <c:ptCount val="29"/>
                <c:pt idx="0">
                  <c:v>25.841999999999999</c:v>
                </c:pt>
                <c:pt idx="1">
                  <c:v>32.619</c:v>
                </c:pt>
                <c:pt idx="2">
                  <c:v>26.09</c:v>
                </c:pt>
                <c:pt idx="3">
                  <c:v>35.460999999999999</c:v>
                </c:pt>
                <c:pt idx="4">
                  <c:v>41.786999999999999</c:v>
                </c:pt>
                <c:pt idx="5">
                  <c:v>31.968</c:v>
                </c:pt>
                <c:pt idx="6">
                  <c:v>26.062000000000001</c:v>
                </c:pt>
                <c:pt idx="7">
                  <c:v>33.901000000000003</c:v>
                </c:pt>
                <c:pt idx="8">
                  <c:v>30.448</c:v>
                </c:pt>
                <c:pt idx="9">
                  <c:v>25.184000000000001</c:v>
                </c:pt>
                <c:pt idx="10">
                  <c:v>25.111000000000001</c:v>
                </c:pt>
                <c:pt idx="11">
                  <c:v>27.584</c:v>
                </c:pt>
                <c:pt idx="12">
                  <c:v>26.349</c:v>
                </c:pt>
                <c:pt idx="13">
                  <c:v>30.021931445577579</c:v>
                </c:pt>
                <c:pt idx="14">
                  <c:v>28.881</c:v>
                </c:pt>
                <c:pt idx="15">
                  <c:v>28.378</c:v>
                </c:pt>
                <c:pt idx="16">
                  <c:v>27.240000000000002</c:v>
                </c:pt>
                <c:pt idx="17">
                  <c:v>28.472000000000001</c:v>
                </c:pt>
                <c:pt idx="18">
                  <c:v>31.870999999999999</c:v>
                </c:pt>
                <c:pt idx="19">
                  <c:v>25.633000000000003</c:v>
                </c:pt>
                <c:pt idx="20">
                  <c:v>30.902000000000001</c:v>
                </c:pt>
                <c:pt idx="21">
                  <c:v>31.602000000000004</c:v>
                </c:pt>
                <c:pt idx="22">
                  <c:v>28.316000000000003</c:v>
                </c:pt>
                <c:pt idx="23">
                  <c:v>21.997</c:v>
                </c:pt>
                <c:pt idx="24">
                  <c:v>37.442</c:v>
                </c:pt>
                <c:pt idx="25">
                  <c:v>30.552</c:v>
                </c:pt>
                <c:pt idx="26">
                  <c:v>25.466000000000001</c:v>
                </c:pt>
                <c:pt idx="27">
                  <c:v>23.953000000000003</c:v>
                </c:pt>
                <c:pt idx="28">
                  <c:v>34.343000000000004</c:v>
                </c:pt>
              </c:numCache>
            </c:numRef>
          </c:val>
          <c:extLst xmlns:c16r2="http://schemas.microsoft.com/office/drawing/2015/06/chart">
            <c:ext xmlns:c16="http://schemas.microsoft.com/office/drawing/2014/chart" uri="{C3380CC4-5D6E-409C-BE32-E72D297353CC}">
              <c16:uniqueId val="{00000023-E6CF-4B6A-B619-B62F524E944A}"/>
            </c:ext>
          </c:extLst>
        </c:ser>
        <c:ser>
          <c:idx val="1"/>
          <c:order val="1"/>
          <c:tx>
            <c:strRef>
              <c:f>'[812018701p1g080(1).xlsx]g5-6'!$C$34</c:f>
              <c:strCache>
                <c:ptCount val="1"/>
                <c:pt idx="0">
                  <c:v>Îngrijiri ambulatorii</c:v>
                </c:pt>
              </c:strCache>
            </c:strRef>
          </c:tx>
          <c:spPr>
            <a:solidFill>
              <a:srgbClr val="CCCCCC"/>
            </a:solidFill>
            <a:ln w="3175">
              <a:solidFill>
                <a:srgbClr val="000000"/>
              </a:solidFill>
              <a:prstDash val="solid"/>
            </a:ln>
          </c:spPr>
          <c:invertIfNegative val="0"/>
          <c:dPt>
            <c:idx val="13"/>
            <c:invertIfNegative val="0"/>
            <c:bubble3D val="0"/>
            <c:spPr>
              <a:solidFill>
                <a:srgbClr val="929292"/>
              </a:solidFill>
              <a:ln w="3175">
                <a:solidFill>
                  <a:srgbClr val="000000"/>
                </a:solidFill>
                <a:prstDash val="solid"/>
              </a:ln>
            </c:spPr>
            <c:extLst xmlns:c16r2="http://schemas.microsoft.com/office/drawing/2015/06/chart">
              <c:ext xmlns:c16="http://schemas.microsoft.com/office/drawing/2014/chart" uri="{C3380CC4-5D6E-409C-BE32-E72D297353CC}">
                <c16:uniqueId val="{00000025-E6CF-4B6A-B619-B62F524E944A}"/>
              </c:ext>
            </c:extLst>
          </c:dPt>
          <c:dLbls>
            <c:dLbl>
              <c:idx val="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E6CF-4B6A-B619-B62F524E944A}"/>
                </c:ext>
              </c:extLst>
            </c:dLbl>
            <c:dLbl>
              <c:idx val="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E6CF-4B6A-B619-B62F524E944A}"/>
                </c:ext>
              </c:extLst>
            </c:dLbl>
            <c:dLbl>
              <c:idx val="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E6CF-4B6A-B619-B62F524E944A}"/>
                </c:ext>
              </c:extLst>
            </c:dLbl>
            <c:dLbl>
              <c:idx val="3"/>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E6CF-4B6A-B619-B62F524E944A}"/>
                </c:ext>
              </c:extLst>
            </c:dLbl>
            <c:dLbl>
              <c:idx val="4"/>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E6CF-4B6A-B619-B62F524E944A}"/>
                </c:ext>
              </c:extLst>
            </c:dLbl>
            <c:dLbl>
              <c:idx val="5"/>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E6CF-4B6A-B619-B62F524E944A}"/>
                </c:ext>
              </c:extLst>
            </c:dLbl>
            <c:dLbl>
              <c:idx val="6"/>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E6CF-4B6A-B619-B62F524E944A}"/>
                </c:ext>
              </c:extLst>
            </c:dLbl>
            <c:dLbl>
              <c:idx val="7"/>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E6CF-4B6A-B619-B62F524E944A}"/>
                </c:ext>
              </c:extLst>
            </c:dLbl>
            <c:dLbl>
              <c:idx val="8"/>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E6CF-4B6A-B619-B62F524E944A}"/>
                </c:ext>
              </c:extLst>
            </c:dLbl>
            <c:dLbl>
              <c:idx val="9"/>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E6CF-4B6A-B619-B62F524E944A}"/>
                </c:ext>
              </c:extLst>
            </c:dLbl>
            <c:dLbl>
              <c:idx val="1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E6CF-4B6A-B619-B62F524E944A}"/>
                </c:ext>
              </c:extLst>
            </c:dLbl>
            <c:dLbl>
              <c:idx val="1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E6CF-4B6A-B619-B62F524E944A}"/>
                </c:ext>
              </c:extLst>
            </c:dLbl>
            <c:dLbl>
              <c:idx val="1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E6CF-4B6A-B619-B62F524E944A}"/>
                </c:ext>
              </c:extLst>
            </c:dLbl>
            <c:dLbl>
              <c:idx val="13"/>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E6CF-4B6A-B619-B62F524E944A}"/>
                </c:ext>
              </c:extLst>
            </c:dLbl>
            <c:dLbl>
              <c:idx val="14"/>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E6CF-4B6A-B619-B62F524E944A}"/>
                </c:ext>
              </c:extLst>
            </c:dLbl>
            <c:dLbl>
              <c:idx val="15"/>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E6CF-4B6A-B619-B62F524E944A}"/>
                </c:ext>
              </c:extLst>
            </c:dLbl>
            <c:dLbl>
              <c:idx val="16"/>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E6CF-4B6A-B619-B62F524E944A}"/>
                </c:ext>
              </c:extLst>
            </c:dLbl>
            <c:dLbl>
              <c:idx val="17"/>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6-E6CF-4B6A-B619-B62F524E944A}"/>
                </c:ext>
              </c:extLst>
            </c:dLbl>
            <c:dLbl>
              <c:idx val="18"/>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E6CF-4B6A-B619-B62F524E944A}"/>
                </c:ext>
              </c:extLst>
            </c:dLbl>
            <c:dLbl>
              <c:idx val="19"/>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8-E6CF-4B6A-B619-B62F524E944A}"/>
                </c:ext>
              </c:extLst>
            </c:dLbl>
            <c:dLbl>
              <c:idx val="2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9-E6CF-4B6A-B619-B62F524E944A}"/>
                </c:ext>
              </c:extLst>
            </c:dLbl>
            <c:dLbl>
              <c:idx val="2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A-E6CF-4B6A-B619-B62F524E944A}"/>
                </c:ext>
              </c:extLst>
            </c:dLbl>
            <c:dLbl>
              <c:idx val="2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B-E6CF-4B6A-B619-B62F524E944A}"/>
                </c:ext>
              </c:extLst>
            </c:dLbl>
            <c:dLbl>
              <c:idx val="23"/>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C-E6CF-4B6A-B619-B62F524E944A}"/>
                </c:ext>
              </c:extLst>
            </c:dLbl>
            <c:dLbl>
              <c:idx val="24"/>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D-E6CF-4B6A-B619-B62F524E944A}"/>
                </c:ext>
              </c:extLst>
            </c:dLbl>
            <c:dLbl>
              <c:idx val="25"/>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E-E6CF-4B6A-B619-B62F524E944A}"/>
                </c:ext>
              </c:extLst>
            </c:dLbl>
            <c:dLbl>
              <c:idx val="26"/>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F-E6CF-4B6A-B619-B62F524E944A}"/>
                </c:ext>
              </c:extLst>
            </c:dLbl>
            <c:dLbl>
              <c:idx val="27"/>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0-E6CF-4B6A-B619-B62F524E944A}"/>
                </c:ext>
              </c:extLst>
            </c:dLbl>
            <c:dLbl>
              <c:idx val="28"/>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1-E6CF-4B6A-B619-B62F524E944A}"/>
                </c:ext>
              </c:extLst>
            </c:dLbl>
            <c:dLbl>
              <c:idx val="29"/>
              <c:tx>
                <c:rich>
                  <a:bodyPr wrap="square" lIns="38100" tIns="19050" rIns="38100" bIns="19050" anchor="ctr">
                    <a:spAutoFit/>
                  </a:bodyPr>
                  <a:lstStyle/>
                  <a:p>
                    <a:pPr>
                      <a:defRPr sz="750" b="0" i="0">
                        <a:solidFill>
                          <a:srgbClr val="000000"/>
                        </a:solidFill>
                        <a:latin typeface="Arial Narrow" panose="020B0606020202030204" pitchFamily="34" charset="0"/>
                      </a:defRPr>
                    </a:pPr>
                    <a:endParaRPr lang="en-GB" sz="750" b="0" i="0">
                      <a:solidFill>
                        <a:srgbClr val="000000"/>
                      </a:solidFill>
                      <a:latin typeface="Arial Narrow" panose="020B0606020202030204" pitchFamily="34" charset="0"/>
                    </a:endParaRP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2-E6CF-4B6A-B619-B62F524E944A}"/>
                </c:ext>
              </c:extLst>
            </c:dLbl>
            <c:dLbl>
              <c:idx val="3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3-E6CF-4B6A-B619-B62F524E944A}"/>
                </c:ext>
              </c:extLst>
            </c:dLbl>
            <c:dLbl>
              <c:idx val="3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4-E6CF-4B6A-B619-B62F524E944A}"/>
                </c:ext>
              </c:extLst>
            </c:dLbl>
            <c:dLbl>
              <c:idx val="3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5-E6CF-4B6A-B619-B62F524E944A}"/>
                </c:ext>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'[812018701p1g080(1).xlsx]g5-6'!$A$35:$A$63</c:f>
              <c:strCache>
                <c:ptCount val="29"/>
                <c:pt idx="0">
                  <c:v>Portugalia</c:v>
                </c:pt>
                <c:pt idx="1">
                  <c:v>Cipru</c:v>
                </c:pt>
                <c:pt idx="2">
                  <c:v>Estonia</c:v>
                </c:pt>
                <c:pt idx="3">
                  <c:v>Polonia</c:v>
                </c:pt>
                <c:pt idx="4">
                  <c:v>Grecia</c:v>
                </c:pt>
                <c:pt idx="5">
                  <c:v>Italia</c:v>
                </c:pt>
                <c:pt idx="6">
                  <c:v>Spania</c:v>
                </c:pt>
                <c:pt idx="7">
                  <c:v>Austria</c:v>
                </c:pt>
                <c:pt idx="8">
                  <c:v>Slovenia</c:v>
                </c:pt>
                <c:pt idx="9">
                  <c:v>Finlanda</c:v>
                </c:pt>
                <c:pt idx="10">
                  <c:v>Croația</c:v>
                </c:pt>
                <c:pt idx="11">
                  <c:v>Slovacia</c:v>
                </c:pt>
                <c:pt idx="12">
                  <c:v>Danemarca</c:v>
                </c:pt>
                <c:pt idx="13">
                  <c:v>EU28</c:v>
                </c:pt>
                <c:pt idx="14">
                  <c:v>Ungaria</c:v>
                </c:pt>
                <c:pt idx="15">
                  <c:v>Luxemburg</c:v>
                </c:pt>
                <c:pt idx="16">
                  <c:v>Letonia</c:v>
                </c:pt>
                <c:pt idx="17">
                  <c:v>Marea Britanie</c:v>
                </c:pt>
                <c:pt idx="18">
                  <c:v>Franța</c:v>
                </c:pt>
                <c:pt idx="19">
                  <c:v>Cehia</c:v>
                </c:pt>
                <c:pt idx="20">
                  <c:v>Lituania</c:v>
                </c:pt>
                <c:pt idx="21">
                  <c:v>Irlanda</c:v>
                </c:pt>
                <c:pt idx="22">
                  <c:v>Germania</c:v>
                </c:pt>
                <c:pt idx="23">
                  <c:v>Suedia</c:v>
                </c:pt>
                <c:pt idx="24">
                  <c:v>România</c:v>
                </c:pt>
                <c:pt idx="25">
                  <c:v>Belgia</c:v>
                </c:pt>
                <c:pt idx="26">
                  <c:v>Malta</c:v>
                </c:pt>
                <c:pt idx="27">
                  <c:v>Olanda</c:v>
                </c:pt>
                <c:pt idx="28">
                  <c:v>Bulgaria</c:v>
                </c:pt>
              </c:strCache>
            </c:strRef>
          </c:cat>
          <c:val>
            <c:numRef>
              <c:f>'[812018701p1g080(1).xlsx]g5-6'!$C$35:$C$63</c:f>
              <c:numCache>
                <c:formatCode>0</c:formatCode>
                <c:ptCount val="29"/>
                <c:pt idx="0">
                  <c:v>48.536999999999999</c:v>
                </c:pt>
                <c:pt idx="1">
                  <c:v>40.494999999999997</c:v>
                </c:pt>
                <c:pt idx="2">
                  <c:v>41.753999999999998</c:v>
                </c:pt>
                <c:pt idx="3">
                  <c:v>30.119000000000003</c:v>
                </c:pt>
                <c:pt idx="4">
                  <c:v>22.047999999999998</c:v>
                </c:pt>
                <c:pt idx="5">
                  <c:v>31.280999999999999</c:v>
                </c:pt>
                <c:pt idx="6">
                  <c:v>36.768000000000001</c:v>
                </c:pt>
                <c:pt idx="7">
                  <c:v>28.177999999999997</c:v>
                </c:pt>
                <c:pt idx="8">
                  <c:v>31.594000000000001</c:v>
                </c:pt>
                <c:pt idx="9">
                  <c:v>36.023000000000003</c:v>
                </c:pt>
                <c:pt idx="10">
                  <c:v>35.793999999999997</c:v>
                </c:pt>
                <c:pt idx="11">
                  <c:v>32.976999999999997</c:v>
                </c:pt>
                <c:pt idx="12">
                  <c:v>33.905000000000001</c:v>
                </c:pt>
                <c:pt idx="13">
                  <c:v>29.827402659674735</c:v>
                </c:pt>
                <c:pt idx="14">
                  <c:v>30.803999999999998</c:v>
                </c:pt>
                <c:pt idx="15">
                  <c:v>30.768000000000001</c:v>
                </c:pt>
                <c:pt idx="16">
                  <c:v>31.773</c:v>
                </c:pt>
                <c:pt idx="17">
                  <c:v>30.516000000000002</c:v>
                </c:pt>
                <c:pt idx="18">
                  <c:v>26.710999999999999</c:v>
                </c:pt>
                <c:pt idx="19">
                  <c:v>32.455999999999996</c:v>
                </c:pt>
                <c:pt idx="20">
                  <c:v>26.992000000000001</c:v>
                </c:pt>
                <c:pt idx="21">
                  <c:v>25.702000000000002</c:v>
                </c:pt>
                <c:pt idx="22">
                  <c:v>27.728999999999999</c:v>
                </c:pt>
                <c:pt idx="23">
                  <c:v>34.009</c:v>
                </c:pt>
                <c:pt idx="24">
                  <c:v>18.170999999999999</c:v>
                </c:pt>
                <c:pt idx="25">
                  <c:v>25.03</c:v>
                </c:pt>
                <c:pt idx="26">
                  <c:v>29.472000000000001</c:v>
                </c:pt>
                <c:pt idx="27">
                  <c:v>30.425999999999998</c:v>
                </c:pt>
                <c:pt idx="28">
                  <c:v>17.191000000000003</c:v>
                </c:pt>
              </c:numCache>
            </c:numRef>
          </c:val>
          <c:extLst xmlns:c16r2="http://schemas.microsoft.com/office/drawing/2015/06/chart">
            <c:ext xmlns:c16="http://schemas.microsoft.com/office/drawing/2014/chart" uri="{C3380CC4-5D6E-409C-BE32-E72D297353CC}">
              <c16:uniqueId val="{00000046-E6CF-4B6A-B619-B62F524E944A}"/>
            </c:ext>
          </c:extLst>
        </c:ser>
        <c:ser>
          <c:idx val="2"/>
          <c:order val="2"/>
          <c:tx>
            <c:strRef>
              <c:f>'[812018701p1g080(1).xlsx]g5-6'!$D$34</c:f>
              <c:strCache>
                <c:ptCount val="1"/>
                <c:pt idx="0">
                  <c:v>Îngrijiri pe termen lung</c:v>
                </c:pt>
              </c:strCache>
            </c:strRef>
          </c:tx>
          <c:spPr>
            <a:solidFill>
              <a:srgbClr val="A7B9E3"/>
            </a:solidFill>
            <a:ln w="3175">
              <a:solidFill>
                <a:srgbClr val="000000"/>
              </a:solidFill>
              <a:prstDash val="solid"/>
            </a:ln>
          </c:spPr>
          <c:invertIfNegative val="0"/>
          <c:dPt>
            <c:idx val="13"/>
            <c:invertIfNegative val="0"/>
            <c:bubble3D val="0"/>
            <c:spPr>
              <a:solidFill>
                <a:srgbClr val="FFFFFF"/>
              </a:solidFill>
              <a:ln w="3175">
                <a:solidFill>
                  <a:srgbClr val="000000"/>
                </a:solidFill>
                <a:prstDash val="solid"/>
              </a:ln>
            </c:spPr>
            <c:extLst xmlns:c16r2="http://schemas.microsoft.com/office/drawing/2015/06/chart">
              <c:ext xmlns:c16="http://schemas.microsoft.com/office/drawing/2014/chart" uri="{C3380CC4-5D6E-409C-BE32-E72D297353CC}">
                <c16:uniqueId val="{00000048-E6CF-4B6A-B619-B62F524E944A}"/>
              </c:ext>
            </c:extLst>
          </c:dPt>
          <c:dLbls>
            <c:dLbl>
              <c:idx val="0"/>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9-E6CF-4B6A-B619-B62F524E944A}"/>
                </c:ext>
              </c:extLst>
            </c:dLbl>
            <c:dLbl>
              <c:idx val="1"/>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A-E6CF-4B6A-B619-B62F524E944A}"/>
                </c:ext>
              </c:extLst>
            </c:dLbl>
            <c:dLbl>
              <c:idx val="2"/>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B-E6CF-4B6A-B619-B62F524E944A}"/>
                </c:ext>
              </c:extLst>
            </c:dLbl>
            <c:dLbl>
              <c:idx val="3"/>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C-E6CF-4B6A-B619-B62F524E944A}"/>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4D-E6CF-4B6A-B619-B62F524E944A}"/>
                </c:ext>
              </c:extLst>
            </c:dLbl>
            <c:dLbl>
              <c:idx val="5"/>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E-E6CF-4B6A-B619-B62F524E944A}"/>
                </c:ext>
              </c:extLst>
            </c:dLbl>
            <c:dLbl>
              <c:idx val="6"/>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F-E6CF-4B6A-B619-B62F524E944A}"/>
                </c:ext>
              </c:extLst>
            </c:dLbl>
            <c:dLbl>
              <c:idx val="7"/>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0-E6CF-4B6A-B619-B62F524E944A}"/>
                </c:ext>
              </c:extLst>
            </c:dLbl>
            <c:dLbl>
              <c:idx val="8"/>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1-E6CF-4B6A-B619-B62F524E944A}"/>
                </c:ext>
              </c:extLst>
            </c:dLbl>
            <c:dLbl>
              <c:idx val="9"/>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2-E6CF-4B6A-B619-B62F524E944A}"/>
                </c:ext>
              </c:extLst>
            </c:dLbl>
            <c:dLbl>
              <c:idx val="10"/>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3-E6CF-4B6A-B619-B62F524E944A}"/>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54-E6CF-4B6A-B619-B62F524E944A}"/>
                </c:ext>
              </c:extLst>
            </c:dLbl>
            <c:dLbl>
              <c:idx val="12"/>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25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5-E6CF-4B6A-B619-B62F524E944A}"/>
                </c:ext>
              </c:extLst>
            </c:dLbl>
            <c:dLbl>
              <c:idx val="13"/>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48-E6CF-4B6A-B619-B62F524E944A}"/>
                </c:ext>
              </c:extLst>
            </c:dLbl>
            <c:dLbl>
              <c:idx val="14"/>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6-E6CF-4B6A-B619-B62F524E944A}"/>
                </c:ext>
              </c:extLst>
            </c:dLbl>
            <c:dLbl>
              <c:idx val="15"/>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23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7-E6CF-4B6A-B619-B62F524E944A}"/>
                </c:ext>
              </c:extLst>
            </c:dLbl>
            <c:dLbl>
              <c:idx val="16"/>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8-E6CF-4B6A-B619-B62F524E944A}"/>
                </c:ext>
              </c:extLst>
            </c:dLbl>
            <c:dLbl>
              <c:idx val="17"/>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9-E6CF-4B6A-B619-B62F524E944A}"/>
                </c:ext>
              </c:extLst>
            </c:dLbl>
            <c:dLbl>
              <c:idx val="18"/>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A-E6CF-4B6A-B619-B62F524E944A}"/>
                </c:ext>
              </c:extLst>
            </c:dLbl>
            <c:dLbl>
              <c:idx val="19"/>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B-E6CF-4B6A-B619-B62F524E944A}"/>
                </c:ext>
              </c:extLst>
            </c:dLbl>
            <c:dLbl>
              <c:idx val="20"/>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C-E6CF-4B6A-B619-B62F524E944A}"/>
                </c:ext>
              </c:extLst>
            </c:dLbl>
            <c:dLbl>
              <c:idx val="21"/>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22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D-E6CF-4B6A-B619-B62F524E944A}"/>
                </c:ext>
              </c:extLst>
            </c:dLbl>
            <c:dLbl>
              <c:idx val="22"/>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E-E6CF-4B6A-B619-B62F524E944A}"/>
                </c:ext>
              </c:extLst>
            </c:dLbl>
            <c:dLbl>
              <c:idx val="23"/>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26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5F-E6CF-4B6A-B619-B62F524E944A}"/>
                </c:ext>
              </c:extLst>
            </c:dLbl>
            <c:dLbl>
              <c:idx val="24"/>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0-E6CF-4B6A-B619-B62F524E944A}"/>
                </c:ext>
              </c:extLst>
            </c:dLbl>
            <c:dLbl>
              <c:idx val="25"/>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21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1-E6CF-4B6A-B619-B62F524E944A}"/>
                </c:ext>
              </c:extLst>
            </c:dLbl>
            <c:dLbl>
              <c:idx val="26"/>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2-E6CF-4B6A-B619-B62F524E944A}"/>
                </c:ext>
              </c:extLst>
            </c:dLbl>
            <c:dLbl>
              <c:idx val="27"/>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26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3-E6CF-4B6A-B619-B62F524E944A}"/>
                </c:ext>
              </c:extLst>
            </c:dLbl>
            <c:dLbl>
              <c:idx val="2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64-E6CF-4B6A-B619-B62F524E944A}"/>
                </c:ext>
              </c:extLst>
            </c:dLbl>
            <c:dLbl>
              <c:idx val="29"/>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endParaRPr lang="en-GB" sz="750" b="0" i="0">
                      <a:solidFill>
                        <a:sysClr val="windowText" lastClr="000000"/>
                      </a:solidFill>
                      <a:latin typeface="Arial Narrow" panose="020B0606020202030204" pitchFamily="34" charset="0"/>
                    </a:endParaRP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5-E6CF-4B6A-B619-B62F524E944A}"/>
                </c:ext>
              </c:extLst>
            </c:dLbl>
            <c:dLbl>
              <c:idx val="30"/>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21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6-E6CF-4B6A-B619-B62F524E944A}"/>
                </c:ext>
              </c:extLst>
            </c:dLbl>
            <c:dLbl>
              <c:idx val="31"/>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19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7-E6CF-4B6A-B619-B62F524E944A}"/>
                </c:ext>
              </c:extLst>
            </c:dLbl>
            <c:dLbl>
              <c:idx val="32"/>
              <c:tx>
                <c:rich>
                  <a:bodyPr wrap="square" lIns="38100" tIns="19050" rIns="38100" bIns="19050" anchor="ctr">
                    <a:spAutoFit/>
                  </a:bodyPr>
                  <a:lstStyle/>
                  <a:p>
                    <a:pPr>
                      <a:defRPr sz="750" b="0" i="0">
                        <a:solidFill>
                          <a:sysClr val="windowText" lastClr="000000"/>
                        </a:solidFill>
                        <a:latin typeface="Arial Narrow" panose="020B0606020202030204" pitchFamily="34" charset="0"/>
                      </a:defRPr>
                    </a:pPr>
                    <a:r>
                      <a:rPr lang="en-US" sz="750" b="0" i="0">
                        <a:solidFill>
                          <a:sysClr val="windowText" lastClr="000000"/>
                        </a:solidFill>
                        <a:latin typeface="Arial Narrow" panose="020B0606020202030204" pitchFamily="34" charset="0"/>
                      </a:rPr>
                      <a:t>28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8-E6CF-4B6A-B619-B62F524E944A}"/>
                </c:ext>
              </c:extLst>
            </c:dLbl>
            <c:spPr>
              <a:noFill/>
              <a:ln w="25400">
                <a:noFill/>
              </a:ln>
            </c:spPr>
            <c:txPr>
              <a:bodyPr wrap="square" lIns="38100" tIns="19050" rIns="38100" bIns="19050" anchor="ctr">
                <a:spAutoFit/>
              </a:bodyPr>
              <a:lstStyle/>
              <a:p>
                <a:pPr>
                  <a:defRPr>
                    <a:solidFill>
                      <a:sysClr val="windowText" lastClr="000000"/>
                    </a:solidFill>
                  </a:defRPr>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'[812018701p1g080(1).xlsx]g5-6'!$A$35:$A$63</c:f>
              <c:strCache>
                <c:ptCount val="29"/>
                <c:pt idx="0">
                  <c:v>Portugalia</c:v>
                </c:pt>
                <c:pt idx="1">
                  <c:v>Cipru</c:v>
                </c:pt>
                <c:pt idx="2">
                  <c:v>Estonia</c:v>
                </c:pt>
                <c:pt idx="3">
                  <c:v>Polonia</c:v>
                </c:pt>
                <c:pt idx="4">
                  <c:v>Grecia</c:v>
                </c:pt>
                <c:pt idx="5">
                  <c:v>Italia</c:v>
                </c:pt>
                <c:pt idx="6">
                  <c:v>Spania</c:v>
                </c:pt>
                <c:pt idx="7">
                  <c:v>Austria</c:v>
                </c:pt>
                <c:pt idx="8">
                  <c:v>Slovenia</c:v>
                </c:pt>
                <c:pt idx="9">
                  <c:v>Finlanda</c:v>
                </c:pt>
                <c:pt idx="10">
                  <c:v>Croația</c:v>
                </c:pt>
                <c:pt idx="11">
                  <c:v>Slovacia</c:v>
                </c:pt>
                <c:pt idx="12">
                  <c:v>Danemarca</c:v>
                </c:pt>
                <c:pt idx="13">
                  <c:v>EU28</c:v>
                </c:pt>
                <c:pt idx="14">
                  <c:v>Ungaria</c:v>
                </c:pt>
                <c:pt idx="15">
                  <c:v>Luxemburg</c:v>
                </c:pt>
                <c:pt idx="16">
                  <c:v>Letonia</c:v>
                </c:pt>
                <c:pt idx="17">
                  <c:v>Marea Britanie</c:v>
                </c:pt>
                <c:pt idx="18">
                  <c:v>Franța</c:v>
                </c:pt>
                <c:pt idx="19">
                  <c:v>Cehia</c:v>
                </c:pt>
                <c:pt idx="20">
                  <c:v>Lituania</c:v>
                </c:pt>
                <c:pt idx="21">
                  <c:v>Irlanda</c:v>
                </c:pt>
                <c:pt idx="22">
                  <c:v>Germania</c:v>
                </c:pt>
                <c:pt idx="23">
                  <c:v>Suedia</c:v>
                </c:pt>
                <c:pt idx="24">
                  <c:v>România</c:v>
                </c:pt>
                <c:pt idx="25">
                  <c:v>Belgia</c:v>
                </c:pt>
                <c:pt idx="26">
                  <c:v>Malta</c:v>
                </c:pt>
                <c:pt idx="27">
                  <c:v>Olanda</c:v>
                </c:pt>
                <c:pt idx="28">
                  <c:v>Bulgaria</c:v>
                </c:pt>
              </c:strCache>
            </c:strRef>
          </c:cat>
          <c:val>
            <c:numRef>
              <c:f>'[812018701p1g080(1).xlsx]g5-6'!$D$35:$D$63</c:f>
              <c:numCache>
                <c:formatCode>0</c:formatCode>
                <c:ptCount val="29"/>
                <c:pt idx="0">
                  <c:v>2.6219999999999999</c:v>
                </c:pt>
                <c:pt idx="1">
                  <c:v>3.4729999999999999</c:v>
                </c:pt>
                <c:pt idx="2">
                  <c:v>5.9160000000000004</c:v>
                </c:pt>
                <c:pt idx="3">
                  <c:v>5.8079999999999998</c:v>
                </c:pt>
                <c:pt idx="4">
                  <c:v>1.391</c:v>
                </c:pt>
                <c:pt idx="5">
                  <c:v>10.112</c:v>
                </c:pt>
                <c:pt idx="6">
                  <c:v>9.3230000000000004</c:v>
                </c:pt>
                <c:pt idx="7">
                  <c:v>14.65</c:v>
                </c:pt>
                <c:pt idx="8">
                  <c:v>9.6140000000000008</c:v>
                </c:pt>
                <c:pt idx="9">
                  <c:v>19.257000000000001</c:v>
                </c:pt>
                <c:pt idx="10">
                  <c:v>2.8719999999999999</c:v>
                </c:pt>
                <c:pt idx="11">
                  <c:v>0.68799999999999994</c:v>
                </c:pt>
                <c:pt idx="12">
                  <c:v>24.725000000000001</c:v>
                </c:pt>
                <c:pt idx="13">
                  <c:v>13.111912100372408</c:v>
                </c:pt>
                <c:pt idx="14">
                  <c:v>3.8090000000000002</c:v>
                </c:pt>
                <c:pt idx="15">
                  <c:v>23.029</c:v>
                </c:pt>
                <c:pt idx="16">
                  <c:v>4.7290000000000001</c:v>
                </c:pt>
                <c:pt idx="17">
                  <c:v>18.545000000000002</c:v>
                </c:pt>
                <c:pt idx="18">
                  <c:v>14.831</c:v>
                </c:pt>
                <c:pt idx="19">
                  <c:v>13.228999999999999</c:v>
                </c:pt>
                <c:pt idx="20">
                  <c:v>8.3049999999999997</c:v>
                </c:pt>
                <c:pt idx="21">
                  <c:v>22.13</c:v>
                </c:pt>
                <c:pt idx="22">
                  <c:v>16.469000000000001</c:v>
                </c:pt>
                <c:pt idx="23">
                  <c:v>26.274000000000001</c:v>
                </c:pt>
                <c:pt idx="24">
                  <c:v>6.4340000000000002</c:v>
                </c:pt>
                <c:pt idx="25">
                  <c:v>21.457000000000001</c:v>
                </c:pt>
                <c:pt idx="26">
                  <c:v>17.893000000000001</c:v>
                </c:pt>
                <c:pt idx="27">
                  <c:v>25.582000000000001</c:v>
                </c:pt>
                <c:pt idx="28">
                  <c:v>8.4000000000000005E-2</c:v>
                </c:pt>
              </c:numCache>
            </c:numRef>
          </c:val>
          <c:extLst xmlns:c16r2="http://schemas.microsoft.com/office/drawing/2015/06/chart">
            <c:ext xmlns:c16="http://schemas.microsoft.com/office/drawing/2014/chart" uri="{C3380CC4-5D6E-409C-BE32-E72D297353CC}">
              <c16:uniqueId val="{00000069-E6CF-4B6A-B619-B62F524E944A}"/>
            </c:ext>
          </c:extLst>
        </c:ser>
        <c:ser>
          <c:idx val="3"/>
          <c:order val="3"/>
          <c:tx>
            <c:strRef>
              <c:f>'[812018701p1g080(1).xlsx]g5-6'!$E$34</c:f>
              <c:strCache>
                <c:ptCount val="1"/>
                <c:pt idx="0">
                  <c:v>Medicamente</c:v>
                </c:pt>
              </c:strCache>
            </c:strRef>
          </c:tx>
          <c:spPr>
            <a:solidFill>
              <a:srgbClr val="929292"/>
            </a:solidFill>
            <a:ln w="3175">
              <a:solidFill>
                <a:srgbClr val="000000"/>
              </a:solidFill>
              <a:prstDash val="solid"/>
            </a:ln>
          </c:spPr>
          <c:invertIfNegative val="0"/>
          <c:dPt>
            <c:idx val="13"/>
            <c:invertIfNegative val="0"/>
            <c:bubble3D val="0"/>
            <c:spPr>
              <a:solidFill>
                <a:srgbClr val="000000"/>
              </a:solidFill>
              <a:ln w="3175">
                <a:solidFill>
                  <a:srgbClr val="000000"/>
                </a:solidFill>
                <a:prstDash val="solid"/>
              </a:ln>
            </c:spPr>
            <c:extLst xmlns:c16r2="http://schemas.microsoft.com/office/drawing/2015/06/chart">
              <c:ext xmlns:c16="http://schemas.microsoft.com/office/drawing/2014/chart" uri="{C3380CC4-5D6E-409C-BE32-E72D297353CC}">
                <c16:uniqueId val="{0000006B-E6CF-4B6A-B619-B62F524E944A}"/>
              </c:ext>
            </c:extLst>
          </c:dPt>
          <c:dPt>
            <c:idx val="24"/>
            <c:invertIfNegative val="0"/>
            <c:bubble3D val="0"/>
            <c:spPr>
              <a:solidFill>
                <a:srgbClr val="FF0000"/>
              </a:solidFill>
              <a:ln w="3175">
                <a:solidFill>
                  <a:srgbClr val="000000"/>
                </a:solidFill>
                <a:prstDash val="solid"/>
              </a:ln>
            </c:spPr>
            <c:extLst xmlns:c16r2="http://schemas.microsoft.com/office/drawing/2015/06/chart">
              <c:ext xmlns:c16="http://schemas.microsoft.com/office/drawing/2014/chart" uri="{C3380CC4-5D6E-409C-BE32-E72D297353CC}">
                <c16:uniqueId val="{0000006D-E6CF-4B6A-B619-B62F524E944A}"/>
              </c:ext>
            </c:extLst>
          </c:dPt>
          <c:dLbls>
            <c:dLbl>
              <c:idx val="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E-E6CF-4B6A-B619-B62F524E944A}"/>
                </c:ext>
              </c:extLst>
            </c:dLbl>
            <c:dLbl>
              <c:idx val="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F-E6CF-4B6A-B619-B62F524E944A}"/>
                </c:ext>
              </c:extLst>
            </c:dLbl>
            <c:dLbl>
              <c:idx val="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0-E6CF-4B6A-B619-B62F524E944A}"/>
                </c:ext>
              </c:extLst>
            </c:dLbl>
            <c:dLbl>
              <c:idx val="3"/>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1-E6CF-4B6A-B619-B62F524E944A}"/>
                </c:ext>
              </c:extLst>
            </c:dLbl>
            <c:dLbl>
              <c:idx val="4"/>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2-E6CF-4B6A-B619-B62F524E944A}"/>
                </c:ext>
              </c:extLst>
            </c:dLbl>
            <c:dLbl>
              <c:idx val="5"/>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3-E6CF-4B6A-B619-B62F524E944A}"/>
                </c:ext>
              </c:extLst>
            </c:dLbl>
            <c:dLbl>
              <c:idx val="6"/>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4-E6CF-4B6A-B619-B62F524E944A}"/>
                </c:ext>
              </c:extLst>
            </c:dLbl>
            <c:dLbl>
              <c:idx val="7"/>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5-E6CF-4B6A-B619-B62F524E944A}"/>
                </c:ext>
              </c:extLst>
            </c:dLbl>
            <c:dLbl>
              <c:idx val="8"/>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6-E6CF-4B6A-B619-B62F524E944A}"/>
                </c:ext>
              </c:extLst>
            </c:dLbl>
            <c:dLbl>
              <c:idx val="9"/>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7-E6CF-4B6A-B619-B62F524E944A}"/>
                </c:ext>
              </c:extLst>
            </c:dLbl>
            <c:dLbl>
              <c:idx val="1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8-E6CF-4B6A-B619-B62F524E944A}"/>
                </c:ext>
              </c:extLst>
            </c:dLbl>
            <c:dLbl>
              <c:idx val="1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9-E6CF-4B6A-B619-B62F524E944A}"/>
                </c:ext>
              </c:extLst>
            </c:dLbl>
            <c:dLbl>
              <c:idx val="1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A-E6CF-4B6A-B619-B62F524E944A}"/>
                </c:ext>
              </c:extLst>
            </c:dLbl>
            <c:dLbl>
              <c:idx val="13"/>
              <c:tx>
                <c:rich>
                  <a:bodyPr wrap="square" lIns="38100" tIns="19050" rIns="38100" bIns="19050" anchor="ctr">
                    <a:spAutoFit/>
                  </a:bodyPr>
                  <a:lstStyle/>
                  <a:p>
                    <a:pPr>
                      <a:defRPr sz="750" b="0" i="0">
                        <a:solidFill>
                          <a:schemeClr val="bg1"/>
                        </a:solidFill>
                        <a:latin typeface="Arial Narrow" panose="020B0606020202030204" pitchFamily="34" charset="0"/>
                      </a:defRPr>
                    </a:pPr>
                    <a:r>
                      <a:rPr lang="en-US" sz="750" b="0" i="0">
                        <a:solidFill>
                          <a:schemeClr val="bg1"/>
                        </a:solidFill>
                        <a:latin typeface="Arial Narrow" panose="020B0606020202030204" pitchFamily="34" charset="0"/>
                      </a:rPr>
                      <a:t>20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B-E6CF-4B6A-B619-B62F524E944A}"/>
                </c:ext>
              </c:extLst>
            </c:dLbl>
            <c:dLbl>
              <c:idx val="14"/>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B-E6CF-4B6A-B619-B62F524E944A}"/>
                </c:ext>
              </c:extLst>
            </c:dLbl>
            <c:dLbl>
              <c:idx val="15"/>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C-E6CF-4B6A-B619-B62F524E944A}"/>
                </c:ext>
              </c:extLst>
            </c:dLbl>
            <c:dLbl>
              <c:idx val="16"/>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D-E6CF-4B6A-B619-B62F524E944A}"/>
                </c:ext>
              </c:extLst>
            </c:dLbl>
            <c:dLbl>
              <c:idx val="17"/>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E-E6CF-4B6A-B619-B62F524E944A}"/>
                </c:ext>
              </c:extLst>
            </c:dLbl>
            <c:dLbl>
              <c:idx val="18"/>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7F-E6CF-4B6A-B619-B62F524E944A}"/>
                </c:ext>
              </c:extLst>
            </c:dLbl>
            <c:dLbl>
              <c:idx val="19"/>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0-E6CF-4B6A-B619-B62F524E944A}"/>
                </c:ext>
              </c:extLst>
            </c:dLbl>
            <c:dLbl>
              <c:idx val="2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1-E6CF-4B6A-B619-B62F524E944A}"/>
                </c:ext>
              </c:extLst>
            </c:dLbl>
            <c:dLbl>
              <c:idx val="2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2-E6CF-4B6A-B619-B62F524E944A}"/>
                </c:ext>
              </c:extLst>
            </c:dLbl>
            <c:dLbl>
              <c:idx val="2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20</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3-E6CF-4B6A-B619-B62F524E944A}"/>
                </c:ext>
              </c:extLst>
            </c:dLbl>
            <c:dLbl>
              <c:idx val="23"/>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4-E6CF-4B6A-B619-B62F524E944A}"/>
                </c:ext>
              </c:extLst>
            </c:dLbl>
            <c:dLbl>
              <c:idx val="24"/>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6D-E6CF-4B6A-B619-B62F524E944A}"/>
                </c:ext>
              </c:extLst>
            </c:dLbl>
            <c:dLbl>
              <c:idx val="25"/>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5-E6CF-4B6A-B619-B62F524E944A}"/>
                </c:ext>
              </c:extLst>
            </c:dLbl>
            <c:dLbl>
              <c:idx val="26"/>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6-E6CF-4B6A-B619-B62F524E944A}"/>
                </c:ext>
              </c:extLst>
            </c:dLbl>
            <c:dLbl>
              <c:idx val="27"/>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12</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7-E6CF-4B6A-B619-B62F524E944A}"/>
                </c:ext>
              </c:extLst>
            </c:dLbl>
            <c:dLbl>
              <c:idx val="28"/>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8-E6CF-4B6A-B619-B62F524E944A}"/>
                </c:ext>
              </c:extLst>
            </c:dLbl>
            <c:dLbl>
              <c:idx val="29"/>
              <c:tx>
                <c:rich>
                  <a:bodyPr wrap="square" lIns="38100" tIns="19050" rIns="38100" bIns="19050" anchor="ctr">
                    <a:spAutoFit/>
                  </a:bodyPr>
                  <a:lstStyle/>
                  <a:p>
                    <a:pPr>
                      <a:defRPr sz="750" b="0" i="0">
                        <a:solidFill>
                          <a:srgbClr val="000000"/>
                        </a:solidFill>
                        <a:latin typeface="Arial Narrow" panose="020B0606020202030204" pitchFamily="34" charset="0"/>
                      </a:defRPr>
                    </a:pPr>
                    <a:endParaRPr lang="en-GB" sz="750" b="0" i="0">
                      <a:solidFill>
                        <a:srgbClr val="000000"/>
                      </a:solidFill>
                      <a:latin typeface="Arial Narrow" panose="020B0606020202030204" pitchFamily="34" charset="0"/>
                    </a:endParaRP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9-E6CF-4B6A-B619-B62F524E944A}"/>
                </c:ext>
              </c:extLst>
            </c:dLbl>
            <c:dLbl>
              <c:idx val="3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A-E6CF-4B6A-B619-B62F524E944A}"/>
                </c:ext>
              </c:extLst>
            </c:dLbl>
            <c:dLbl>
              <c:idx val="3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B-E6CF-4B6A-B619-B62F524E944A}"/>
                </c:ext>
              </c:extLst>
            </c:dLbl>
            <c:dLbl>
              <c:idx val="3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11</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C-E6CF-4B6A-B619-B62F524E944A}"/>
                </c:ext>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'[812018701p1g080(1).xlsx]g5-6'!$A$35:$A$63</c:f>
              <c:strCache>
                <c:ptCount val="29"/>
                <c:pt idx="0">
                  <c:v>Portugalia</c:v>
                </c:pt>
                <c:pt idx="1">
                  <c:v>Cipru</c:v>
                </c:pt>
                <c:pt idx="2">
                  <c:v>Estonia</c:v>
                </c:pt>
                <c:pt idx="3">
                  <c:v>Polonia</c:v>
                </c:pt>
                <c:pt idx="4">
                  <c:v>Grecia</c:v>
                </c:pt>
                <c:pt idx="5">
                  <c:v>Italia</c:v>
                </c:pt>
                <c:pt idx="6">
                  <c:v>Spania</c:v>
                </c:pt>
                <c:pt idx="7">
                  <c:v>Austria</c:v>
                </c:pt>
                <c:pt idx="8">
                  <c:v>Slovenia</c:v>
                </c:pt>
                <c:pt idx="9">
                  <c:v>Finlanda</c:v>
                </c:pt>
                <c:pt idx="10">
                  <c:v>Croația</c:v>
                </c:pt>
                <c:pt idx="11">
                  <c:v>Slovacia</c:v>
                </c:pt>
                <c:pt idx="12">
                  <c:v>Danemarca</c:v>
                </c:pt>
                <c:pt idx="13">
                  <c:v>EU28</c:v>
                </c:pt>
                <c:pt idx="14">
                  <c:v>Ungaria</c:v>
                </c:pt>
                <c:pt idx="15">
                  <c:v>Luxemburg</c:v>
                </c:pt>
                <c:pt idx="16">
                  <c:v>Letonia</c:v>
                </c:pt>
                <c:pt idx="17">
                  <c:v>Marea Britanie</c:v>
                </c:pt>
                <c:pt idx="18">
                  <c:v>Franța</c:v>
                </c:pt>
                <c:pt idx="19">
                  <c:v>Cehia</c:v>
                </c:pt>
                <c:pt idx="20">
                  <c:v>Lituania</c:v>
                </c:pt>
                <c:pt idx="21">
                  <c:v>Irlanda</c:v>
                </c:pt>
                <c:pt idx="22">
                  <c:v>Germania</c:v>
                </c:pt>
                <c:pt idx="23">
                  <c:v>Suedia</c:v>
                </c:pt>
                <c:pt idx="24">
                  <c:v>România</c:v>
                </c:pt>
                <c:pt idx="25">
                  <c:v>Belgia</c:v>
                </c:pt>
                <c:pt idx="26">
                  <c:v>Malta</c:v>
                </c:pt>
                <c:pt idx="27">
                  <c:v>Olanda</c:v>
                </c:pt>
                <c:pt idx="28">
                  <c:v>Bulgaria</c:v>
                </c:pt>
              </c:strCache>
            </c:strRef>
          </c:cat>
          <c:val>
            <c:numRef>
              <c:f>'[812018701p1g080(1).xlsx]g5-6'!$E$35:$E$63</c:f>
              <c:numCache>
                <c:formatCode>0</c:formatCode>
                <c:ptCount val="29"/>
                <c:pt idx="0">
                  <c:v>19.178999999999998</c:v>
                </c:pt>
                <c:pt idx="1">
                  <c:v>20.481999999999999</c:v>
                </c:pt>
                <c:pt idx="2">
                  <c:v>21.593</c:v>
                </c:pt>
                <c:pt idx="3">
                  <c:v>23.178999999999998</c:v>
                </c:pt>
                <c:pt idx="4">
                  <c:v>31.131</c:v>
                </c:pt>
                <c:pt idx="5">
                  <c:v>20.666</c:v>
                </c:pt>
                <c:pt idx="6">
                  <c:v>22.936</c:v>
                </c:pt>
                <c:pt idx="7">
                  <c:v>16.917999999999999</c:v>
                </c:pt>
                <c:pt idx="8">
                  <c:v>22.466999999999999</c:v>
                </c:pt>
                <c:pt idx="9">
                  <c:v>14.775</c:v>
                </c:pt>
                <c:pt idx="10">
                  <c:v>29.920999999999999</c:v>
                </c:pt>
                <c:pt idx="11">
                  <c:v>34.234000000000002</c:v>
                </c:pt>
                <c:pt idx="12">
                  <c:v>10.058999999999999</c:v>
                </c:pt>
                <c:pt idx="13">
                  <c:v>20.452705499238519</c:v>
                </c:pt>
                <c:pt idx="14">
                  <c:v>31.513000000000002</c:v>
                </c:pt>
                <c:pt idx="15">
                  <c:v>10.957000000000001</c:v>
                </c:pt>
                <c:pt idx="16">
                  <c:v>31.907</c:v>
                </c:pt>
                <c:pt idx="17">
                  <c:v>13.823</c:v>
                </c:pt>
                <c:pt idx="18">
                  <c:v>19.100999999999999</c:v>
                </c:pt>
                <c:pt idx="19">
                  <c:v>20.359000000000002</c:v>
                </c:pt>
                <c:pt idx="20">
                  <c:v>29.873999999999999</c:v>
                </c:pt>
                <c:pt idx="21">
                  <c:v>13.98</c:v>
                </c:pt>
                <c:pt idx="22">
                  <c:v>19.712</c:v>
                </c:pt>
                <c:pt idx="23">
                  <c:v>12.327999999999999</c:v>
                </c:pt>
                <c:pt idx="24">
                  <c:v>32.298000000000002</c:v>
                </c:pt>
                <c:pt idx="25">
                  <c:v>16.776</c:v>
                </c:pt>
                <c:pt idx="26">
                  <c:v>21.151</c:v>
                </c:pt>
                <c:pt idx="27">
                  <c:v>11.92</c:v>
                </c:pt>
                <c:pt idx="28">
                  <c:v>43.896000000000001</c:v>
                </c:pt>
              </c:numCache>
            </c:numRef>
          </c:val>
          <c:extLst xmlns:c16r2="http://schemas.microsoft.com/office/drawing/2015/06/chart">
            <c:ext xmlns:c16="http://schemas.microsoft.com/office/drawing/2014/chart" uri="{C3380CC4-5D6E-409C-BE32-E72D297353CC}">
              <c16:uniqueId val="{0000008D-E6CF-4B6A-B619-B62F524E944A}"/>
            </c:ext>
          </c:extLst>
        </c:ser>
        <c:ser>
          <c:idx val="4"/>
          <c:order val="4"/>
          <c:tx>
            <c:strRef>
              <c:f>'[812018701p1g080(1).xlsx]g5-6'!$F$34</c:f>
              <c:strCache>
                <c:ptCount val="1"/>
                <c:pt idx="0">
                  <c:v>Servicii colective (promovare, prevenție, administrare și guvernare)</c:v>
                </c:pt>
              </c:strCache>
            </c:strRef>
          </c:tx>
          <c:spPr>
            <a:solidFill>
              <a:srgbClr val="EDF0F7"/>
            </a:solidFill>
            <a:ln w="3175">
              <a:solidFill>
                <a:srgbClr val="000000"/>
              </a:solidFill>
              <a:prstDash val="solid"/>
            </a:ln>
          </c:spPr>
          <c:invertIfNegative val="0"/>
          <c:dPt>
            <c:idx val="13"/>
            <c:invertIfNegative val="0"/>
            <c:bubble3D val="0"/>
            <c:spPr>
              <a:solidFill>
                <a:srgbClr val="929292"/>
              </a:solidFill>
              <a:ln w="3175">
                <a:solidFill>
                  <a:srgbClr val="000000"/>
                </a:solidFill>
                <a:prstDash val="solid"/>
              </a:ln>
            </c:spPr>
            <c:extLst xmlns:c16r2="http://schemas.microsoft.com/office/drawing/2015/06/chart">
              <c:ext xmlns:c16="http://schemas.microsoft.com/office/drawing/2014/chart" uri="{C3380CC4-5D6E-409C-BE32-E72D297353CC}">
                <c16:uniqueId val="{0000008F-E6CF-4B6A-B619-B62F524E944A}"/>
              </c:ext>
            </c:extLst>
          </c:dPt>
          <c:dLbls>
            <c:dLbl>
              <c:idx val="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0-E6CF-4B6A-B619-B62F524E944A}"/>
                </c:ext>
              </c:extLst>
            </c:dLbl>
            <c:dLbl>
              <c:idx val="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1-E6CF-4B6A-B619-B62F524E944A}"/>
                </c:ext>
              </c:extLst>
            </c:dLbl>
            <c:dLbl>
              <c:idx val="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2-E6CF-4B6A-B619-B62F524E944A}"/>
                </c:ext>
              </c:extLst>
            </c:dLbl>
            <c:dLbl>
              <c:idx val="3"/>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3-E6CF-4B6A-B619-B62F524E944A}"/>
                </c:ext>
              </c:extLst>
            </c:dLbl>
            <c:dLbl>
              <c:idx val="4"/>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4-E6CF-4B6A-B619-B62F524E944A}"/>
                </c:ext>
              </c:extLst>
            </c:dLbl>
            <c:dLbl>
              <c:idx val="5"/>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5-E6CF-4B6A-B619-B62F524E944A}"/>
                </c:ext>
              </c:extLst>
            </c:dLbl>
            <c:dLbl>
              <c:idx val="6"/>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6-E6CF-4B6A-B619-B62F524E944A}"/>
                </c:ext>
              </c:extLst>
            </c:dLbl>
            <c:dLbl>
              <c:idx val="7"/>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7-E6CF-4B6A-B619-B62F524E944A}"/>
                </c:ext>
              </c:extLst>
            </c:dLbl>
            <c:dLbl>
              <c:idx val="8"/>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8-E6CF-4B6A-B619-B62F524E944A}"/>
                </c:ext>
              </c:extLst>
            </c:dLbl>
            <c:dLbl>
              <c:idx val="9"/>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9-E6CF-4B6A-B619-B62F524E944A}"/>
                </c:ext>
              </c:extLst>
            </c:dLbl>
            <c:dLbl>
              <c:idx val="1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A-E6CF-4B6A-B619-B62F524E944A}"/>
                </c:ext>
              </c:extLst>
            </c:dLbl>
            <c:dLbl>
              <c:idx val="1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B-E6CF-4B6A-B619-B62F524E944A}"/>
                </c:ext>
              </c:extLst>
            </c:dLbl>
            <c:dLbl>
              <c:idx val="1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C-E6CF-4B6A-B619-B62F524E944A}"/>
                </c:ext>
              </c:extLst>
            </c:dLbl>
            <c:dLbl>
              <c:idx val="13"/>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8F-E6CF-4B6A-B619-B62F524E944A}"/>
                </c:ext>
              </c:extLst>
            </c:dLbl>
            <c:dLbl>
              <c:idx val="14"/>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D-E6CF-4B6A-B619-B62F524E944A}"/>
                </c:ext>
              </c:extLst>
            </c:dLbl>
            <c:dLbl>
              <c:idx val="15"/>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E-E6CF-4B6A-B619-B62F524E944A}"/>
                </c:ext>
              </c:extLst>
            </c:dLbl>
            <c:dLbl>
              <c:idx val="16"/>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9F-E6CF-4B6A-B619-B62F524E944A}"/>
                </c:ext>
              </c:extLst>
            </c:dLbl>
            <c:dLbl>
              <c:idx val="17"/>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0-E6CF-4B6A-B619-B62F524E944A}"/>
                </c:ext>
              </c:extLst>
            </c:dLbl>
            <c:dLbl>
              <c:idx val="18"/>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1-E6CF-4B6A-B619-B62F524E944A}"/>
                </c:ext>
              </c:extLst>
            </c:dLbl>
            <c:dLbl>
              <c:idx val="19"/>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2-E6CF-4B6A-B619-B62F524E944A}"/>
                </c:ext>
              </c:extLst>
            </c:dLbl>
            <c:dLbl>
              <c:idx val="2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3-E6CF-4B6A-B619-B62F524E944A}"/>
                </c:ext>
              </c:extLst>
            </c:dLbl>
            <c:dLbl>
              <c:idx val="2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7</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4-E6CF-4B6A-B619-B62F524E944A}"/>
                </c:ext>
              </c:extLst>
            </c:dLbl>
            <c:dLbl>
              <c:idx val="2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5-E6CF-4B6A-B619-B62F524E944A}"/>
                </c:ext>
              </c:extLst>
            </c:dLbl>
            <c:dLbl>
              <c:idx val="23"/>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5</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6-E6CF-4B6A-B619-B62F524E944A}"/>
                </c:ext>
              </c:extLst>
            </c:dLbl>
            <c:dLbl>
              <c:idx val="24"/>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7-E6CF-4B6A-B619-B62F524E944A}"/>
                </c:ext>
              </c:extLst>
            </c:dLbl>
            <c:dLbl>
              <c:idx val="25"/>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8-E6CF-4B6A-B619-B62F524E944A}"/>
                </c:ext>
              </c:extLst>
            </c:dLbl>
            <c:dLbl>
              <c:idx val="26"/>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9-E6CF-4B6A-B619-B62F524E944A}"/>
                </c:ext>
              </c:extLst>
            </c:dLbl>
            <c:dLbl>
              <c:idx val="27"/>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8</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A-E6CF-4B6A-B619-B62F524E944A}"/>
                </c:ext>
              </c:extLst>
            </c:dLbl>
            <c:dLbl>
              <c:idx val="28"/>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B-E6CF-4B6A-B619-B62F524E944A}"/>
                </c:ext>
              </c:extLst>
            </c:dLbl>
            <c:dLbl>
              <c:idx val="29"/>
              <c:tx>
                <c:rich>
                  <a:bodyPr wrap="square" lIns="38100" tIns="19050" rIns="38100" bIns="19050" anchor="ctr">
                    <a:spAutoFit/>
                  </a:bodyPr>
                  <a:lstStyle/>
                  <a:p>
                    <a:pPr>
                      <a:defRPr sz="750" b="0" i="0">
                        <a:solidFill>
                          <a:srgbClr val="000000"/>
                        </a:solidFill>
                        <a:latin typeface="Arial Narrow" panose="020B0606020202030204" pitchFamily="34" charset="0"/>
                      </a:defRPr>
                    </a:pPr>
                    <a:endParaRPr lang="en-GB" sz="750" b="0" i="0">
                      <a:solidFill>
                        <a:srgbClr val="000000"/>
                      </a:solidFill>
                      <a:latin typeface="Arial Narrow" panose="020B0606020202030204" pitchFamily="34" charset="0"/>
                    </a:endParaRP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C-E6CF-4B6A-B619-B62F524E944A}"/>
                </c:ext>
              </c:extLst>
            </c:dLbl>
            <c:dLbl>
              <c:idx val="30"/>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D-E6CF-4B6A-B619-B62F524E944A}"/>
                </c:ext>
              </c:extLst>
            </c:dLbl>
            <c:dLbl>
              <c:idx val="31"/>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6</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E-E6CF-4B6A-B619-B62F524E944A}"/>
                </c:ext>
              </c:extLst>
            </c:dLbl>
            <c:dLbl>
              <c:idx val="32"/>
              <c:tx>
                <c:rich>
                  <a:bodyPr wrap="square" lIns="38100" tIns="19050" rIns="38100" bIns="19050" anchor="ctr">
                    <a:spAutoFit/>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AF-E6CF-4B6A-B619-B62F524E944A}"/>
                </c:ext>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'[812018701p1g080(1).xlsx]g5-6'!$A$35:$A$63</c:f>
              <c:strCache>
                <c:ptCount val="29"/>
                <c:pt idx="0">
                  <c:v>Portugalia</c:v>
                </c:pt>
                <c:pt idx="1">
                  <c:v>Cipru</c:v>
                </c:pt>
                <c:pt idx="2">
                  <c:v>Estonia</c:v>
                </c:pt>
                <c:pt idx="3">
                  <c:v>Polonia</c:v>
                </c:pt>
                <c:pt idx="4">
                  <c:v>Grecia</c:v>
                </c:pt>
                <c:pt idx="5">
                  <c:v>Italia</c:v>
                </c:pt>
                <c:pt idx="6">
                  <c:v>Spania</c:v>
                </c:pt>
                <c:pt idx="7">
                  <c:v>Austria</c:v>
                </c:pt>
                <c:pt idx="8">
                  <c:v>Slovenia</c:v>
                </c:pt>
                <c:pt idx="9">
                  <c:v>Finlanda</c:v>
                </c:pt>
                <c:pt idx="10">
                  <c:v>Croația</c:v>
                </c:pt>
                <c:pt idx="11">
                  <c:v>Slovacia</c:v>
                </c:pt>
                <c:pt idx="12">
                  <c:v>Danemarca</c:v>
                </c:pt>
                <c:pt idx="13">
                  <c:v>EU28</c:v>
                </c:pt>
                <c:pt idx="14">
                  <c:v>Ungaria</c:v>
                </c:pt>
                <c:pt idx="15">
                  <c:v>Luxemburg</c:v>
                </c:pt>
                <c:pt idx="16">
                  <c:v>Letonia</c:v>
                </c:pt>
                <c:pt idx="17">
                  <c:v>Marea Britanie</c:v>
                </c:pt>
                <c:pt idx="18">
                  <c:v>Franța</c:v>
                </c:pt>
                <c:pt idx="19">
                  <c:v>Cehia</c:v>
                </c:pt>
                <c:pt idx="20">
                  <c:v>Lituania</c:v>
                </c:pt>
                <c:pt idx="21">
                  <c:v>Irlanda</c:v>
                </c:pt>
                <c:pt idx="22">
                  <c:v>Germania</c:v>
                </c:pt>
                <c:pt idx="23">
                  <c:v>Suedia</c:v>
                </c:pt>
                <c:pt idx="24">
                  <c:v>România</c:v>
                </c:pt>
                <c:pt idx="25">
                  <c:v>Belgia</c:v>
                </c:pt>
                <c:pt idx="26">
                  <c:v>Malta</c:v>
                </c:pt>
                <c:pt idx="27">
                  <c:v>Olanda</c:v>
                </c:pt>
                <c:pt idx="28">
                  <c:v>Bulgaria</c:v>
                </c:pt>
              </c:strCache>
            </c:strRef>
          </c:cat>
          <c:val>
            <c:numRef>
              <c:f>'[812018701p1g080(1).xlsx]g5-6'!$F$35:$F$63</c:f>
              <c:numCache>
                <c:formatCode>0</c:formatCode>
                <c:ptCount val="29"/>
                <c:pt idx="0">
                  <c:v>3.82</c:v>
                </c:pt>
                <c:pt idx="1">
                  <c:v>2.93</c:v>
                </c:pt>
                <c:pt idx="2">
                  <c:v>4.6470000000000002</c:v>
                </c:pt>
                <c:pt idx="3">
                  <c:v>5.4329999999999998</c:v>
                </c:pt>
                <c:pt idx="4">
                  <c:v>3.6440000000000001</c:v>
                </c:pt>
                <c:pt idx="5">
                  <c:v>5.9729999999999999</c:v>
                </c:pt>
                <c:pt idx="6">
                  <c:v>4.91</c:v>
                </c:pt>
                <c:pt idx="7">
                  <c:v>6.3529999999999998</c:v>
                </c:pt>
                <c:pt idx="8">
                  <c:v>5.8769999999999998</c:v>
                </c:pt>
                <c:pt idx="9">
                  <c:v>4.7610000000000001</c:v>
                </c:pt>
                <c:pt idx="10">
                  <c:v>6.3010000000000002</c:v>
                </c:pt>
                <c:pt idx="11">
                  <c:v>4.5190000000000001</c:v>
                </c:pt>
                <c:pt idx="12">
                  <c:v>4.9619999999999997</c:v>
                </c:pt>
                <c:pt idx="13">
                  <c:v>6.5861318885675342</c:v>
                </c:pt>
                <c:pt idx="14">
                  <c:v>4.9930000000000003</c:v>
                </c:pt>
                <c:pt idx="15">
                  <c:v>6.8680000000000003</c:v>
                </c:pt>
                <c:pt idx="16">
                  <c:v>4.3499999999999996</c:v>
                </c:pt>
                <c:pt idx="17">
                  <c:v>8.6449999999999996</c:v>
                </c:pt>
                <c:pt idx="18">
                  <c:v>7.4859999999999998</c:v>
                </c:pt>
                <c:pt idx="19">
                  <c:v>8.3239999999999998</c:v>
                </c:pt>
                <c:pt idx="20">
                  <c:v>3.9260000000000002</c:v>
                </c:pt>
                <c:pt idx="21">
                  <c:v>6.5860000000000003</c:v>
                </c:pt>
                <c:pt idx="22">
                  <c:v>7.774</c:v>
                </c:pt>
                <c:pt idx="23">
                  <c:v>5.3920000000000003</c:v>
                </c:pt>
                <c:pt idx="24">
                  <c:v>5.6559999999999997</c:v>
                </c:pt>
                <c:pt idx="25">
                  <c:v>6.1840000000000002</c:v>
                </c:pt>
                <c:pt idx="26">
                  <c:v>6.0179999999999998</c:v>
                </c:pt>
                <c:pt idx="27">
                  <c:v>8.1189999999999998</c:v>
                </c:pt>
                <c:pt idx="28">
                  <c:v>4.4850000000000003</c:v>
                </c:pt>
              </c:numCache>
            </c:numRef>
          </c:val>
          <c:extLst xmlns:c16r2="http://schemas.microsoft.com/office/drawing/2015/06/chart">
            <c:ext xmlns:c16="http://schemas.microsoft.com/office/drawing/2014/chart" uri="{C3380CC4-5D6E-409C-BE32-E72D297353CC}">
              <c16:uniqueId val="{000000B0-E6CF-4B6A-B619-B62F524E944A}"/>
            </c:ext>
          </c:extLst>
        </c:ser>
        <c:dLbls>
          <c:showLegendKey val="0"/>
          <c:showVal val="0"/>
          <c:showCatName val="0"/>
          <c:showSerName val="0"/>
          <c:showPercent val="0"/>
          <c:showBubbleSize val="0"/>
        </c:dLbls>
        <c:gapWidth val="40"/>
        <c:overlap val="100"/>
        <c:axId val="342636800"/>
        <c:axId val="342675456"/>
      </c:barChart>
      <c:catAx>
        <c:axId val="342636800"/>
        <c:scaling>
          <c:orientation val="minMax"/>
        </c:scaling>
        <c:delete val="0"/>
        <c:axPos val="b"/>
        <c:majorGridlines>
          <c:spPr>
            <a:ln w="9525" cmpd="sng">
              <a:solidFill>
                <a:srgbClr val="FFFFFF"/>
              </a:solidFill>
              <a:prstDash val="solid"/>
            </a:ln>
          </c:spPr>
        </c:majorGridlines>
        <c:numFmt formatCode="General" sourceLinked="0"/>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2700000" vert="horz"/>
          <a:lstStyle/>
          <a:p>
            <a:pPr>
              <a:defRPr sz="750" b="0" i="0">
                <a:solidFill>
                  <a:srgbClr val="000000"/>
                </a:solidFill>
                <a:latin typeface="Arial Narrow"/>
                <a:ea typeface="Arial Narrow"/>
                <a:cs typeface="Arial Narrow"/>
              </a:defRPr>
            </a:pPr>
            <a:endParaRPr lang="ro-RO"/>
          </a:p>
        </c:txPr>
        <c:crossAx val="342675456"/>
        <c:crosses val="autoZero"/>
        <c:auto val="1"/>
        <c:lblAlgn val="ctr"/>
        <c:lblOffset val="0"/>
        <c:tickLblSkip val="1"/>
        <c:noMultiLvlLbl val="0"/>
      </c:catAx>
      <c:valAx>
        <c:axId val="342675456"/>
        <c:scaling>
          <c:orientation val="minMax"/>
          <c:max val="100"/>
        </c:scaling>
        <c:delete val="0"/>
        <c:axPos val="l"/>
        <c:majorGridlines>
          <c:spPr>
            <a:ln w="9525" cmpd="sng">
              <a:solidFill>
                <a:srgbClr val="FFFFFF"/>
              </a:solidFill>
              <a:prstDash val="solid"/>
            </a:ln>
          </c:spPr>
        </c:majorGridlines>
        <c:title>
          <c:tx>
            <c:rich>
              <a:bodyPr rot="0" vert="horz"/>
              <a:lstStyle/>
              <a:p>
                <a:pPr>
                  <a:defRPr sz="750" b="0" i="0">
                    <a:solidFill>
                      <a:srgbClr val="000000"/>
                    </a:solidFill>
                    <a:latin typeface="Arial Narrow" panose="020B0606020202030204" pitchFamily="34" charset="0"/>
                  </a:defRPr>
                </a:pPr>
                <a:r>
                  <a:rPr lang="en-GB" sz="750" b="0" i="0">
                    <a:solidFill>
                      <a:srgbClr val="000000"/>
                    </a:solidFill>
                    <a:latin typeface="Arial Narrow" panose="020B0606020202030204" pitchFamily="34" charset="0"/>
                  </a:rPr>
                  <a:t>%</a:t>
                </a:r>
              </a:p>
            </c:rich>
          </c:tx>
          <c:layout>
            <c:manualLayout>
              <c:xMode val="edge"/>
              <c:yMode val="edge"/>
              <c:x val="1.6737601677341354E-2"/>
              <c:y val="7.3031924421910172E-2"/>
            </c:manualLayout>
          </c:layout>
          <c:overlay val="0"/>
        </c:title>
        <c:numFmt formatCode="General" sourceLinked="0"/>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ro-RO"/>
          </a:p>
        </c:txPr>
        <c:crossAx val="342636800"/>
        <c:crosses val="autoZero"/>
        <c:crossBetween val="between"/>
      </c:valAx>
      <c:spPr>
        <a:solidFill>
          <a:srgbClr val="F4FFFF"/>
        </a:solidFill>
        <a:ln w="3175">
          <a:solidFill>
            <a:srgbClr val="000000"/>
          </a:solidFill>
          <a:prstDash val="solid"/>
        </a:ln>
      </c:spPr>
    </c:plotArea>
    <c:plotVisOnly val="1"/>
    <c:dispBlanksAs val="gap"/>
    <c:showDLblsOverMax val="1"/>
  </c:chart>
  <c:spPr>
    <a:noFill/>
    <a:ln w="6350">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8.7445796086387494E-3"/>
          <c:y val="0.11719604732950208"/>
          <c:w val="0.98906927548920154"/>
          <c:h val="0.87550076425369983"/>
        </c:manualLayout>
      </c:layout>
      <c:barChart>
        <c:barDir val="col"/>
        <c:grouping val="clustered"/>
        <c:varyColors val="0"/>
        <c:ser>
          <c:idx val="0"/>
          <c:order val="0"/>
          <c:tx>
            <c:strRef>
              <c:f>'[812018701p1g081(1).xlsx]g5-7'!$B$33</c:f>
              <c:strCache>
                <c:ptCount val="1"/>
                <c:pt idx="0">
                  <c:v>2004-2008</c:v>
                </c:pt>
              </c:strCache>
            </c:strRef>
          </c:tx>
          <c:spPr>
            <a:solidFill>
              <a:srgbClr val="4F81BD"/>
            </a:solidFill>
            <a:ln w="3175">
              <a:solidFill>
                <a:srgbClr val="000000"/>
              </a:solidFill>
              <a:prstDash val="solid"/>
            </a:ln>
          </c:spPr>
          <c:invertIfNegative val="0"/>
          <c:dLbls>
            <c:dLbl>
              <c:idx val="0"/>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2.2</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29-41B8-AE27-F1158EA90437}"/>
                </c:ext>
              </c:extLst>
            </c:dLbl>
            <c:dLbl>
              <c:idx val="1"/>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3.1</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29-41B8-AE27-F1158EA90437}"/>
                </c:ext>
              </c:extLst>
            </c:dLbl>
            <c:dLbl>
              <c:idx val="2"/>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3.0</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29-41B8-AE27-F1158EA90437}"/>
                </c:ext>
              </c:extLst>
            </c:dLbl>
            <c:dLbl>
              <c:idx val="3"/>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1.8</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29-41B8-AE27-F1158EA90437}"/>
                </c:ext>
              </c:extLst>
            </c:dLbl>
            <c:dLbl>
              <c:idx val="4"/>
              <c:layout>
                <c:manualLayout>
                  <c:x val="8.2096037837438313E-17"/>
                  <c:y val="1.4606376833596293E-2"/>
                </c:manualLayout>
              </c:layout>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4.7</a:t>
                    </a:r>
                  </a:p>
                </c:rich>
              </c:tx>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829-41B8-AE27-F1158EA90437}"/>
                </c:ext>
              </c:extLst>
            </c:dLbl>
            <c:dLbl>
              <c:idx val="5"/>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1.2</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829-41B8-AE27-F1158EA90437}"/>
                </c:ext>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'[812018701p1g081(1).xlsx]g5-7'!$A$34:$A$39</c:f>
              <c:strCache>
                <c:ptCount val="6"/>
                <c:pt idx="0">
                  <c:v>Îngrijiri spitalicești</c:v>
                </c:pt>
                <c:pt idx="1">
                  <c:v>Ambulatoriu</c:v>
                </c:pt>
                <c:pt idx="2">
                  <c:v>Îngrijiri pe termen lung</c:v>
                </c:pt>
                <c:pt idx="3">
                  <c:v>Medicamente</c:v>
                </c:pt>
                <c:pt idx="4">
                  <c:v>Prevenție</c:v>
                </c:pt>
                <c:pt idx="5">
                  <c:v>Costuri administrative</c:v>
                </c:pt>
              </c:strCache>
            </c:strRef>
          </c:cat>
          <c:val>
            <c:numRef>
              <c:f>'[812018701p1g081(1).xlsx]g5-7'!$B$34:$B$39</c:f>
              <c:numCache>
                <c:formatCode>0.0</c:formatCode>
                <c:ptCount val="6"/>
                <c:pt idx="0">
                  <c:v>2.2195561299435145</c:v>
                </c:pt>
                <c:pt idx="1">
                  <c:v>3.0766819406464205</c:v>
                </c:pt>
                <c:pt idx="2">
                  <c:v>2.9602244721244375</c:v>
                </c:pt>
                <c:pt idx="3">
                  <c:v>1.8316755918345144</c:v>
                </c:pt>
                <c:pt idx="4">
                  <c:v>4.6675918746434055</c:v>
                </c:pt>
                <c:pt idx="5">
                  <c:v>1.1730238665407859</c:v>
                </c:pt>
              </c:numCache>
            </c:numRef>
          </c:val>
          <c:extLst xmlns:c16r2="http://schemas.microsoft.com/office/drawing/2015/06/chart">
            <c:ext xmlns:c16="http://schemas.microsoft.com/office/drawing/2014/chart" uri="{C3380CC4-5D6E-409C-BE32-E72D297353CC}">
              <c16:uniqueId val="{00000006-D829-41B8-AE27-F1158EA90437}"/>
            </c:ext>
          </c:extLst>
        </c:ser>
        <c:ser>
          <c:idx val="1"/>
          <c:order val="1"/>
          <c:tx>
            <c:strRef>
              <c:f>'[812018701p1g081(1).xlsx]g5-7'!$C$33</c:f>
              <c:strCache>
                <c:ptCount val="1"/>
                <c:pt idx="0">
                  <c:v>2008-2012</c:v>
                </c:pt>
              </c:strCache>
            </c:strRef>
          </c:tx>
          <c:spPr>
            <a:solidFill>
              <a:srgbClr val="CCCCCC"/>
            </a:solidFill>
            <a:ln w="3175">
              <a:solidFill>
                <a:srgbClr val="000000"/>
              </a:solidFill>
              <a:prstDash val="solid"/>
            </a:ln>
          </c:spPr>
          <c:invertIfNegative val="0"/>
          <c:dLbls>
            <c:dLbl>
              <c:idx val="0"/>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1.2</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829-41B8-AE27-F1158EA90437}"/>
                </c:ext>
              </c:extLst>
            </c:dLbl>
            <c:dLbl>
              <c:idx val="1"/>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1.0</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829-41B8-AE27-F1158EA90437}"/>
                </c:ext>
              </c:extLst>
            </c:dLbl>
            <c:dLbl>
              <c:idx val="2"/>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4.3</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829-41B8-AE27-F1158EA90437}"/>
                </c:ext>
              </c:extLst>
            </c:dLbl>
            <c:dLbl>
              <c:idx val="3"/>
              <c:layout>
                <c:manualLayout>
                  <c:x val="0"/>
                  <c:y val="1.095507015230023E-2"/>
                </c:manualLayout>
              </c:layout>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-0.7</a:t>
                    </a:r>
                  </a:p>
                </c:rich>
              </c:tx>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829-41B8-AE27-F1158EA90437}"/>
                </c:ext>
              </c:extLst>
            </c:dLbl>
            <c:dLbl>
              <c:idx val="4"/>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-1.4</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829-41B8-AE27-F1158EA90437}"/>
                </c:ext>
              </c:extLst>
            </c:dLbl>
            <c:dLbl>
              <c:idx val="5"/>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0.0</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829-41B8-AE27-F1158EA90437}"/>
                </c:ext>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'[812018701p1g081(1).xlsx]g5-7'!$A$34:$A$39</c:f>
              <c:strCache>
                <c:ptCount val="6"/>
                <c:pt idx="0">
                  <c:v>Îngrijiri spitalicești</c:v>
                </c:pt>
                <c:pt idx="1">
                  <c:v>Ambulatoriu</c:v>
                </c:pt>
                <c:pt idx="2">
                  <c:v>Îngrijiri pe termen lung</c:v>
                </c:pt>
                <c:pt idx="3">
                  <c:v>Medicamente</c:v>
                </c:pt>
                <c:pt idx="4">
                  <c:v>Prevenție</c:v>
                </c:pt>
                <c:pt idx="5">
                  <c:v>Costuri administrative</c:v>
                </c:pt>
              </c:strCache>
            </c:strRef>
          </c:cat>
          <c:val>
            <c:numRef>
              <c:f>'[812018701p1g081(1).xlsx]g5-7'!$C$34:$C$39</c:f>
              <c:numCache>
                <c:formatCode>0.0</c:formatCode>
                <c:ptCount val="6"/>
                <c:pt idx="0">
                  <c:v>1.2137145730649954</c:v>
                </c:pt>
                <c:pt idx="1">
                  <c:v>1.0197140411695127</c:v>
                </c:pt>
                <c:pt idx="2">
                  <c:v>4.2848997289654713</c:v>
                </c:pt>
                <c:pt idx="3">
                  <c:v>-0.68164101907450747</c:v>
                </c:pt>
                <c:pt idx="4">
                  <c:v>-1.3528660574533498</c:v>
                </c:pt>
                <c:pt idx="5">
                  <c:v>1.2307177332137598E-2</c:v>
                </c:pt>
              </c:numCache>
            </c:numRef>
          </c:val>
          <c:extLst xmlns:c16r2="http://schemas.microsoft.com/office/drawing/2015/06/chart">
            <c:ext xmlns:c16="http://schemas.microsoft.com/office/drawing/2014/chart" uri="{C3380CC4-5D6E-409C-BE32-E72D297353CC}">
              <c16:uniqueId val="{0000000D-D829-41B8-AE27-F1158EA90437}"/>
            </c:ext>
          </c:extLst>
        </c:ser>
        <c:ser>
          <c:idx val="2"/>
          <c:order val="2"/>
          <c:tx>
            <c:strRef>
              <c:f>'[812018701p1g081(1).xlsx]g5-7'!$D$33</c:f>
              <c:strCache>
                <c:ptCount val="1"/>
                <c:pt idx="0">
                  <c:v>2012-2016</c:v>
                </c:pt>
              </c:strCache>
            </c:strRef>
          </c:tx>
          <c:spPr>
            <a:solidFill>
              <a:srgbClr val="A7B9E3"/>
            </a:solidFill>
            <a:ln w="3175">
              <a:solidFill>
                <a:srgbClr val="000000"/>
              </a:solidFill>
              <a:prstDash val="solid"/>
            </a:ln>
          </c:spPr>
          <c:invertIfNegative val="0"/>
          <c:dLbls>
            <c:dLbl>
              <c:idx val="0"/>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1.3</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829-41B8-AE27-F1158EA90437}"/>
                </c:ext>
              </c:extLst>
            </c:dLbl>
            <c:dLbl>
              <c:idx val="1"/>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2.2</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829-41B8-AE27-F1158EA90437}"/>
                </c:ext>
              </c:extLst>
            </c:dLbl>
            <c:dLbl>
              <c:idx val="2"/>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2.4</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829-41B8-AE27-F1158EA90437}"/>
                </c:ext>
              </c:extLst>
            </c:dLbl>
            <c:dLbl>
              <c:idx val="3"/>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0.8</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D829-41B8-AE27-F1158EA90437}"/>
                </c:ext>
              </c:extLst>
            </c:dLbl>
            <c:dLbl>
              <c:idx val="4"/>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2.5</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D829-41B8-AE27-F1158EA90437}"/>
                </c:ext>
              </c:extLst>
            </c:dLbl>
            <c:dLbl>
              <c:idx val="5"/>
              <c:tx>
                <c:rich>
                  <a:bodyPr/>
                  <a:lstStyle/>
                  <a:p>
                    <a:pPr>
                      <a:defRPr sz="750" b="0" i="0">
                        <a:solidFill>
                          <a:srgbClr val="000000"/>
                        </a:solidFill>
                        <a:latin typeface="Arial Narrow" panose="020B0606020202030204" pitchFamily="34" charset="0"/>
                      </a:defRPr>
                    </a:pPr>
                    <a:r>
                      <a:rPr lang="en-US" sz="750" b="0" i="0">
                        <a:solidFill>
                          <a:srgbClr val="000000"/>
                        </a:solidFill>
                        <a:latin typeface="Arial Narrow" panose="020B0606020202030204" pitchFamily="34" charset="0"/>
                      </a:rPr>
                      <a:t>0.9</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D829-41B8-AE27-F1158EA90437}"/>
                </c:ext>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'[812018701p1g081(1).xlsx]g5-7'!$A$34:$A$39</c:f>
              <c:strCache>
                <c:ptCount val="6"/>
                <c:pt idx="0">
                  <c:v>Îngrijiri spitalicești</c:v>
                </c:pt>
                <c:pt idx="1">
                  <c:v>Ambulatoriu</c:v>
                </c:pt>
                <c:pt idx="2">
                  <c:v>Îngrijiri pe termen lung</c:v>
                </c:pt>
                <c:pt idx="3">
                  <c:v>Medicamente</c:v>
                </c:pt>
                <c:pt idx="4">
                  <c:v>Prevenție</c:v>
                </c:pt>
                <c:pt idx="5">
                  <c:v>Costuri administrative</c:v>
                </c:pt>
              </c:strCache>
            </c:strRef>
          </c:cat>
          <c:val>
            <c:numRef>
              <c:f>'[812018701p1g081(1).xlsx]g5-7'!$D$34:$D$39</c:f>
              <c:numCache>
                <c:formatCode>0.0</c:formatCode>
                <c:ptCount val="6"/>
                <c:pt idx="0">
                  <c:v>1.2992746946853313</c:v>
                </c:pt>
                <c:pt idx="1">
                  <c:v>2.2228680354667989</c:v>
                </c:pt>
                <c:pt idx="2">
                  <c:v>2.3895345620248354</c:v>
                </c:pt>
                <c:pt idx="3">
                  <c:v>0.84732580929358403</c:v>
                </c:pt>
                <c:pt idx="4">
                  <c:v>2.5474889795466229</c:v>
                </c:pt>
                <c:pt idx="5">
                  <c:v>0.88977726543741686</c:v>
                </c:pt>
              </c:numCache>
            </c:numRef>
          </c:val>
          <c:extLst xmlns:c16r2="http://schemas.microsoft.com/office/drawing/2015/06/chart">
            <c:ext xmlns:c16="http://schemas.microsoft.com/office/drawing/2014/chart" uri="{C3380CC4-5D6E-409C-BE32-E72D297353CC}">
              <c16:uniqueId val="{00000014-D829-41B8-AE27-F1158EA90437}"/>
            </c:ext>
          </c:extLst>
        </c:ser>
        <c:dLbls>
          <c:showLegendKey val="0"/>
          <c:showVal val="0"/>
          <c:showCatName val="0"/>
          <c:showSerName val="0"/>
          <c:showPercent val="0"/>
          <c:showBubbleSize val="0"/>
        </c:dLbls>
        <c:gapWidth val="40"/>
        <c:axId val="342946176"/>
        <c:axId val="342947712"/>
      </c:barChart>
      <c:catAx>
        <c:axId val="342946176"/>
        <c:scaling>
          <c:orientation val="minMax"/>
        </c:scaling>
        <c:delete val="0"/>
        <c:axPos val="b"/>
        <c:majorGridlines>
          <c:spPr>
            <a:ln w="9525" cmpd="sng">
              <a:solidFill>
                <a:srgbClr val="FFFFFF"/>
              </a:solidFill>
              <a:prstDash val="solid"/>
            </a:ln>
          </c:spPr>
        </c:majorGridlines>
        <c:numFmt formatCode="General" sourceLinked="0"/>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ro-RO"/>
          </a:p>
        </c:txPr>
        <c:crossAx val="342947712"/>
        <c:crosses val="autoZero"/>
        <c:auto val="1"/>
        <c:lblAlgn val="ctr"/>
        <c:lblOffset val="0"/>
        <c:tickLblSkip val="1"/>
        <c:noMultiLvlLbl val="0"/>
      </c:catAx>
      <c:valAx>
        <c:axId val="342947712"/>
        <c:scaling>
          <c:orientation val="minMax"/>
        </c:scaling>
        <c:delete val="0"/>
        <c:axPos val="l"/>
        <c:majorGridlines>
          <c:spPr>
            <a:ln w="9525" cmpd="sng">
              <a:solidFill>
                <a:srgbClr val="FFFFFF"/>
              </a:solidFill>
              <a:prstDash val="solid"/>
            </a:ln>
          </c:spPr>
        </c:majorGridlines>
        <c:title>
          <c:tx>
            <c:rich>
              <a:bodyPr rot="0" vert="horz"/>
              <a:lstStyle/>
              <a:p>
                <a:pPr>
                  <a:defRPr sz="750" b="0" i="0">
                    <a:solidFill>
                      <a:srgbClr val="000000"/>
                    </a:solidFill>
                    <a:latin typeface="Arial Narrow" panose="020B0606020202030204" pitchFamily="34" charset="0"/>
                  </a:defRPr>
                </a:pPr>
                <a:r>
                  <a:rPr lang="en-GB" sz="750" b="0" i="0">
                    <a:solidFill>
                      <a:srgbClr val="000000"/>
                    </a:solidFill>
                    <a:latin typeface="Arial Narrow" panose="020B0606020202030204" pitchFamily="34" charset="0"/>
                  </a:rPr>
                  <a:t>%</a:t>
                </a:r>
              </a:p>
            </c:rich>
          </c:tx>
          <c:layout>
            <c:manualLayout>
              <c:xMode val="edge"/>
              <c:yMode val="edge"/>
              <c:x val="1.1496424019899851E-2"/>
              <c:y val="7.3031808523934511E-2"/>
            </c:manualLayout>
          </c:layout>
          <c:overlay val="0"/>
        </c:title>
        <c:numFmt formatCode="General" sourceLinked="0"/>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ro-RO"/>
          </a:p>
        </c:txPr>
        <c:crossAx val="342946176"/>
        <c:crosses val="autoZero"/>
        <c:crossBetween val="between"/>
      </c:valAx>
      <c:spPr>
        <a:solidFill>
          <a:srgbClr val="F4FFFF"/>
        </a:solidFill>
        <a:ln w="3175">
          <a:solidFill>
            <a:srgbClr val="000000"/>
          </a:solidFill>
          <a:prstDash val="solid"/>
        </a:ln>
      </c:spPr>
    </c:plotArea>
    <c:plotVisOnly val="1"/>
    <c:dispBlanksAs val="gap"/>
    <c:showDLblsOverMax val="1"/>
  </c:chart>
  <c:spPr>
    <a:noFill/>
    <a:ln w="6350">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Foaie1!$H$5</c:f>
              <c:strCache>
                <c:ptCount val="1"/>
                <c:pt idx="0">
                  <c:v>Urban </c:v>
                </c:pt>
              </c:strCache>
            </c:strRef>
          </c:tx>
          <c:invertIfNegative val="0"/>
          <c:cat>
            <c:strRef>
              <c:f>Foaie1!$G$6:$G$342</c:f>
              <c:strCache>
                <c:ptCount val="42"/>
                <c:pt idx="0">
                  <c:v>Alba </c:v>
                </c:pt>
                <c:pt idx="1">
                  <c:v>Arad</c:v>
                </c:pt>
                <c:pt idx="2">
                  <c:v>Argeș </c:v>
                </c:pt>
                <c:pt idx="3">
                  <c:v>Bacău</c:v>
                </c:pt>
                <c:pt idx="4">
                  <c:v>Bihor</c:v>
                </c:pt>
                <c:pt idx="5">
                  <c:v>Bistrița-Năsăud</c:v>
                </c:pt>
                <c:pt idx="6">
                  <c:v>Botoșani</c:v>
                </c:pt>
                <c:pt idx="7">
                  <c:v>Brașov</c:v>
                </c:pt>
                <c:pt idx="8">
                  <c:v>Brăila</c:v>
                </c:pt>
                <c:pt idx="9">
                  <c:v>Buzău</c:v>
                </c:pt>
                <c:pt idx="10">
                  <c:v>Caraș-Severin</c:v>
                </c:pt>
                <c:pt idx="11">
                  <c:v>Călărași</c:v>
                </c:pt>
                <c:pt idx="12">
                  <c:v>Cluj</c:v>
                </c:pt>
                <c:pt idx="13">
                  <c:v>Constanța </c:v>
                </c:pt>
                <c:pt idx="14">
                  <c:v>Covasna</c:v>
                </c:pt>
                <c:pt idx="15">
                  <c:v>Dâmbovița</c:v>
                </c:pt>
                <c:pt idx="16">
                  <c:v>Dolj</c:v>
                </c:pt>
                <c:pt idx="17">
                  <c:v>Galați</c:v>
                </c:pt>
                <c:pt idx="18">
                  <c:v>Giurgiu</c:v>
                </c:pt>
                <c:pt idx="19">
                  <c:v>Gorj</c:v>
                </c:pt>
                <c:pt idx="20">
                  <c:v>Harghita</c:v>
                </c:pt>
                <c:pt idx="21">
                  <c:v>Hunedoara</c:v>
                </c:pt>
                <c:pt idx="22">
                  <c:v>Ialomița </c:v>
                </c:pt>
                <c:pt idx="23">
                  <c:v>Iași</c:v>
                </c:pt>
                <c:pt idx="24">
                  <c:v>Maramureș</c:v>
                </c:pt>
                <c:pt idx="25">
                  <c:v>Mehedinți</c:v>
                </c:pt>
                <c:pt idx="26">
                  <c:v>Mureș</c:v>
                </c:pt>
                <c:pt idx="27">
                  <c:v>Neamț</c:v>
                </c:pt>
                <c:pt idx="28">
                  <c:v>Olt </c:v>
                </c:pt>
                <c:pt idx="29">
                  <c:v>Prahova </c:v>
                </c:pt>
                <c:pt idx="30">
                  <c:v>Sălaj</c:v>
                </c:pt>
                <c:pt idx="31">
                  <c:v>Satu Mare</c:v>
                </c:pt>
                <c:pt idx="32">
                  <c:v>Sibiu</c:v>
                </c:pt>
                <c:pt idx="33">
                  <c:v>Suceava</c:v>
                </c:pt>
                <c:pt idx="34">
                  <c:v>Teleorman</c:v>
                </c:pt>
                <c:pt idx="35">
                  <c:v>Timiș</c:v>
                </c:pt>
                <c:pt idx="36">
                  <c:v>Tulcea</c:v>
                </c:pt>
                <c:pt idx="37">
                  <c:v>Vâlcea</c:v>
                </c:pt>
                <c:pt idx="38">
                  <c:v>Vaslui</c:v>
                </c:pt>
                <c:pt idx="39">
                  <c:v>Vrancea</c:v>
                </c:pt>
                <c:pt idx="40">
                  <c:v>București</c:v>
                </c:pt>
                <c:pt idx="41">
                  <c:v>Ilfov</c:v>
                </c:pt>
              </c:strCache>
            </c:strRef>
          </c:cat>
          <c:val>
            <c:numRef>
              <c:f>Foaie1!$H$6:$H$342</c:f>
              <c:numCache>
                <c:formatCode>#,##0</c:formatCode>
                <c:ptCount val="42"/>
                <c:pt idx="0">
                  <c:v>26</c:v>
                </c:pt>
                <c:pt idx="1">
                  <c:v>11</c:v>
                </c:pt>
                <c:pt idx="2">
                  <c:v>2</c:v>
                </c:pt>
                <c:pt idx="3">
                  <c:v>0</c:v>
                </c:pt>
                <c:pt idx="4">
                  <c:v>5</c:v>
                </c:pt>
                <c:pt idx="5">
                  <c:v>1</c:v>
                </c:pt>
                <c:pt idx="6">
                  <c:v>14</c:v>
                </c:pt>
                <c:pt idx="7">
                  <c:v>1</c:v>
                </c:pt>
                <c:pt idx="8">
                  <c:v>0</c:v>
                </c:pt>
                <c:pt idx="9">
                  <c:v>2</c:v>
                </c:pt>
                <c:pt idx="10">
                  <c:v>0</c:v>
                </c:pt>
                <c:pt idx="11">
                  <c:v>14</c:v>
                </c:pt>
                <c:pt idx="12">
                  <c:v>0</c:v>
                </c:pt>
                <c:pt idx="13">
                  <c:v>8</c:v>
                </c:pt>
                <c:pt idx="14">
                  <c:v>1</c:v>
                </c:pt>
                <c:pt idx="15">
                  <c:v>8</c:v>
                </c:pt>
                <c:pt idx="16">
                  <c:v>8</c:v>
                </c:pt>
                <c:pt idx="17">
                  <c:v>24</c:v>
                </c:pt>
                <c:pt idx="18">
                  <c:v>9</c:v>
                </c:pt>
                <c:pt idx="19">
                  <c:v>31</c:v>
                </c:pt>
                <c:pt idx="20">
                  <c:v>17</c:v>
                </c:pt>
                <c:pt idx="21">
                  <c:v>11</c:v>
                </c:pt>
                <c:pt idx="22">
                  <c:v>12</c:v>
                </c:pt>
                <c:pt idx="23">
                  <c:v>1</c:v>
                </c:pt>
                <c:pt idx="24">
                  <c:v>18</c:v>
                </c:pt>
                <c:pt idx="25">
                  <c:v>11</c:v>
                </c:pt>
                <c:pt idx="26">
                  <c:v>4</c:v>
                </c:pt>
                <c:pt idx="27">
                  <c:v>4</c:v>
                </c:pt>
                <c:pt idx="28">
                  <c:v>20</c:v>
                </c:pt>
                <c:pt idx="29">
                  <c:v>4</c:v>
                </c:pt>
                <c:pt idx="30">
                  <c:v>3</c:v>
                </c:pt>
                <c:pt idx="31">
                  <c:v>0</c:v>
                </c:pt>
                <c:pt idx="32">
                  <c:v>17</c:v>
                </c:pt>
                <c:pt idx="33">
                  <c:v>5</c:v>
                </c:pt>
                <c:pt idx="34">
                  <c:v>5</c:v>
                </c:pt>
                <c:pt idx="35">
                  <c:v>0</c:v>
                </c:pt>
                <c:pt idx="36">
                  <c:v>12</c:v>
                </c:pt>
                <c:pt idx="37">
                  <c:v>0</c:v>
                </c:pt>
                <c:pt idx="38">
                  <c:v>6</c:v>
                </c:pt>
                <c:pt idx="39">
                  <c:v>2</c:v>
                </c:pt>
                <c:pt idx="40">
                  <c:v>2</c:v>
                </c:pt>
                <c:pt idx="41">
                  <c:v>2</c:v>
                </c:pt>
              </c:numCache>
            </c:numRef>
          </c:val>
          <c:extLst xmlns:c16r2="http://schemas.microsoft.com/office/drawing/2015/06/chart">
            <c:ext xmlns:c16="http://schemas.microsoft.com/office/drawing/2014/chart" uri="{C3380CC4-5D6E-409C-BE32-E72D297353CC}">
              <c16:uniqueId val="{00000000-CE0E-4176-90EF-CA9117AE447F}"/>
            </c:ext>
          </c:extLst>
        </c:ser>
        <c:ser>
          <c:idx val="1"/>
          <c:order val="1"/>
          <c:tx>
            <c:strRef>
              <c:f>Foaie1!$I$5</c:f>
              <c:strCache>
                <c:ptCount val="1"/>
                <c:pt idx="0">
                  <c:v>Rural</c:v>
                </c:pt>
              </c:strCache>
            </c:strRef>
          </c:tx>
          <c:invertIfNegative val="0"/>
          <c:cat>
            <c:strRef>
              <c:f>Foaie1!$G$6:$G$342</c:f>
              <c:strCache>
                <c:ptCount val="42"/>
                <c:pt idx="0">
                  <c:v>Alba </c:v>
                </c:pt>
                <c:pt idx="1">
                  <c:v>Arad</c:v>
                </c:pt>
                <c:pt idx="2">
                  <c:v>Argeș </c:v>
                </c:pt>
                <c:pt idx="3">
                  <c:v>Bacău</c:v>
                </c:pt>
                <c:pt idx="4">
                  <c:v>Bihor</c:v>
                </c:pt>
                <c:pt idx="5">
                  <c:v>Bistrița-Năsăud</c:v>
                </c:pt>
                <c:pt idx="6">
                  <c:v>Botoșani</c:v>
                </c:pt>
                <c:pt idx="7">
                  <c:v>Brașov</c:v>
                </c:pt>
                <c:pt idx="8">
                  <c:v>Brăila</c:v>
                </c:pt>
                <c:pt idx="9">
                  <c:v>Buzău</c:v>
                </c:pt>
                <c:pt idx="10">
                  <c:v>Caraș-Severin</c:v>
                </c:pt>
                <c:pt idx="11">
                  <c:v>Călărași</c:v>
                </c:pt>
                <c:pt idx="12">
                  <c:v>Cluj</c:v>
                </c:pt>
                <c:pt idx="13">
                  <c:v>Constanța </c:v>
                </c:pt>
                <c:pt idx="14">
                  <c:v>Covasna</c:v>
                </c:pt>
                <c:pt idx="15">
                  <c:v>Dâmbovița</c:v>
                </c:pt>
                <c:pt idx="16">
                  <c:v>Dolj</c:v>
                </c:pt>
                <c:pt idx="17">
                  <c:v>Galați</c:v>
                </c:pt>
                <c:pt idx="18">
                  <c:v>Giurgiu</c:v>
                </c:pt>
                <c:pt idx="19">
                  <c:v>Gorj</c:v>
                </c:pt>
                <c:pt idx="20">
                  <c:v>Harghita</c:v>
                </c:pt>
                <c:pt idx="21">
                  <c:v>Hunedoara</c:v>
                </c:pt>
                <c:pt idx="22">
                  <c:v>Ialomița </c:v>
                </c:pt>
                <c:pt idx="23">
                  <c:v>Iași</c:v>
                </c:pt>
                <c:pt idx="24">
                  <c:v>Maramureș</c:v>
                </c:pt>
                <c:pt idx="25">
                  <c:v>Mehedinți</c:v>
                </c:pt>
                <c:pt idx="26">
                  <c:v>Mureș</c:v>
                </c:pt>
                <c:pt idx="27">
                  <c:v>Neamț</c:v>
                </c:pt>
                <c:pt idx="28">
                  <c:v>Olt </c:v>
                </c:pt>
                <c:pt idx="29">
                  <c:v>Prahova </c:v>
                </c:pt>
                <c:pt idx="30">
                  <c:v>Sălaj</c:v>
                </c:pt>
                <c:pt idx="31">
                  <c:v>Satu Mare</c:v>
                </c:pt>
                <c:pt idx="32">
                  <c:v>Sibiu</c:v>
                </c:pt>
                <c:pt idx="33">
                  <c:v>Suceava</c:v>
                </c:pt>
                <c:pt idx="34">
                  <c:v>Teleorman</c:v>
                </c:pt>
                <c:pt idx="35">
                  <c:v>Timiș</c:v>
                </c:pt>
                <c:pt idx="36">
                  <c:v>Tulcea</c:v>
                </c:pt>
                <c:pt idx="37">
                  <c:v>Vâlcea</c:v>
                </c:pt>
                <c:pt idx="38">
                  <c:v>Vaslui</c:v>
                </c:pt>
                <c:pt idx="39">
                  <c:v>Vrancea</c:v>
                </c:pt>
                <c:pt idx="40">
                  <c:v>București</c:v>
                </c:pt>
                <c:pt idx="41">
                  <c:v>Ilfov</c:v>
                </c:pt>
              </c:strCache>
            </c:strRef>
          </c:cat>
          <c:val>
            <c:numRef>
              <c:f>Foaie1!$I$6:$I$342</c:f>
              <c:numCache>
                <c:formatCode>#,##0</c:formatCode>
                <c:ptCount val="42"/>
                <c:pt idx="0">
                  <c:v>33</c:v>
                </c:pt>
                <c:pt idx="1">
                  <c:v>8</c:v>
                </c:pt>
                <c:pt idx="2">
                  <c:v>2</c:v>
                </c:pt>
                <c:pt idx="3">
                  <c:v>12</c:v>
                </c:pt>
                <c:pt idx="4">
                  <c:v>12</c:v>
                </c:pt>
                <c:pt idx="5">
                  <c:v>20</c:v>
                </c:pt>
                <c:pt idx="6">
                  <c:v>82</c:v>
                </c:pt>
                <c:pt idx="7">
                  <c:v>0</c:v>
                </c:pt>
                <c:pt idx="8">
                  <c:v>21</c:v>
                </c:pt>
                <c:pt idx="9">
                  <c:v>49</c:v>
                </c:pt>
                <c:pt idx="10">
                  <c:v>0</c:v>
                </c:pt>
                <c:pt idx="11">
                  <c:v>19</c:v>
                </c:pt>
                <c:pt idx="12">
                  <c:v>7</c:v>
                </c:pt>
                <c:pt idx="13">
                  <c:v>5</c:v>
                </c:pt>
                <c:pt idx="14">
                  <c:v>2</c:v>
                </c:pt>
                <c:pt idx="15">
                  <c:v>28</c:v>
                </c:pt>
                <c:pt idx="16">
                  <c:v>87</c:v>
                </c:pt>
                <c:pt idx="17">
                  <c:v>15</c:v>
                </c:pt>
                <c:pt idx="18">
                  <c:v>22</c:v>
                </c:pt>
                <c:pt idx="19">
                  <c:v>96</c:v>
                </c:pt>
                <c:pt idx="20">
                  <c:v>17</c:v>
                </c:pt>
                <c:pt idx="21">
                  <c:v>10</c:v>
                </c:pt>
                <c:pt idx="22">
                  <c:v>24</c:v>
                </c:pt>
                <c:pt idx="23">
                  <c:v>33</c:v>
                </c:pt>
                <c:pt idx="24">
                  <c:v>24</c:v>
                </c:pt>
                <c:pt idx="25">
                  <c:v>64</c:v>
                </c:pt>
                <c:pt idx="26">
                  <c:v>41</c:v>
                </c:pt>
                <c:pt idx="27">
                  <c:v>47</c:v>
                </c:pt>
                <c:pt idx="28">
                  <c:v>72</c:v>
                </c:pt>
                <c:pt idx="29">
                  <c:v>5</c:v>
                </c:pt>
                <c:pt idx="30">
                  <c:v>24</c:v>
                </c:pt>
                <c:pt idx="31">
                  <c:v>6</c:v>
                </c:pt>
                <c:pt idx="32">
                  <c:v>34</c:v>
                </c:pt>
                <c:pt idx="33">
                  <c:v>59</c:v>
                </c:pt>
                <c:pt idx="34">
                  <c:v>41</c:v>
                </c:pt>
                <c:pt idx="35">
                  <c:v>7</c:v>
                </c:pt>
                <c:pt idx="36">
                  <c:v>55</c:v>
                </c:pt>
                <c:pt idx="37">
                  <c:v>47</c:v>
                </c:pt>
                <c:pt idx="38">
                  <c:v>57</c:v>
                </c:pt>
                <c:pt idx="39">
                  <c:v>37</c:v>
                </c:pt>
                <c:pt idx="41">
                  <c:v>11</c:v>
                </c:pt>
              </c:numCache>
            </c:numRef>
          </c:val>
          <c:extLst xmlns:c16r2="http://schemas.microsoft.com/office/drawing/2015/06/chart">
            <c:ext xmlns:c16="http://schemas.microsoft.com/office/drawing/2014/chart" uri="{C3380CC4-5D6E-409C-BE32-E72D297353CC}">
              <c16:uniqueId val="{00000001-CE0E-4176-90EF-CA9117AE447F}"/>
            </c:ext>
          </c:extLst>
        </c:ser>
        <c:dLbls>
          <c:showLegendKey val="0"/>
          <c:showVal val="0"/>
          <c:showCatName val="0"/>
          <c:showSerName val="0"/>
          <c:showPercent val="0"/>
          <c:showBubbleSize val="0"/>
        </c:dLbls>
        <c:gapWidth val="150"/>
        <c:axId val="343038592"/>
        <c:axId val="343048576"/>
      </c:barChart>
      <c:catAx>
        <c:axId val="343038592"/>
        <c:scaling>
          <c:orientation val="minMax"/>
        </c:scaling>
        <c:delete val="0"/>
        <c:axPos val="b"/>
        <c:numFmt formatCode="General" sourceLinked="0"/>
        <c:majorTickMark val="out"/>
        <c:minorTickMark val="none"/>
        <c:tickLblPos val="nextTo"/>
        <c:txPr>
          <a:bodyPr/>
          <a:lstStyle/>
          <a:p>
            <a:pPr>
              <a:defRPr sz="700" b="1">
                <a:latin typeface="Times New Roman" pitchFamily="18" charset="0"/>
                <a:cs typeface="Times New Roman" pitchFamily="18" charset="0"/>
              </a:defRPr>
            </a:pPr>
            <a:endParaRPr lang="ro-RO"/>
          </a:p>
        </c:txPr>
        <c:crossAx val="343048576"/>
        <c:crosses val="autoZero"/>
        <c:auto val="1"/>
        <c:lblAlgn val="ctr"/>
        <c:lblOffset val="100"/>
        <c:noMultiLvlLbl val="0"/>
      </c:catAx>
      <c:valAx>
        <c:axId val="343048576"/>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o-RO"/>
          </a:p>
        </c:txPr>
        <c:crossAx val="343038592"/>
        <c:crosses val="autoZero"/>
        <c:crossBetween val="between"/>
      </c:valAx>
    </c:plotArea>
    <c:legend>
      <c:legendPos val="r"/>
      <c:overlay val="0"/>
      <c:txPr>
        <a:bodyPr/>
        <a:lstStyle/>
        <a:p>
          <a:pPr>
            <a:defRPr>
              <a:latin typeface="Times New Roman" pitchFamily="18" charset="0"/>
              <a:cs typeface="Times New Roman" pitchFamily="18" charset="0"/>
            </a:defRPr>
          </a:pPr>
          <a:endParaRPr lang="ro-RO"/>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Foaie1!$L$5</c:f>
              <c:strCache>
                <c:ptCount val="1"/>
                <c:pt idx="0">
                  <c:v>Urban </c:v>
                </c:pt>
              </c:strCache>
            </c:strRef>
          </c:tx>
          <c:invertIfNegative val="0"/>
          <c:cat>
            <c:strRef>
              <c:f>Foaie1!$K$6:$K$342</c:f>
              <c:strCache>
                <c:ptCount val="42"/>
                <c:pt idx="0">
                  <c:v>Alba </c:v>
                </c:pt>
                <c:pt idx="1">
                  <c:v>Arad</c:v>
                </c:pt>
                <c:pt idx="2">
                  <c:v>Argeș </c:v>
                </c:pt>
                <c:pt idx="3">
                  <c:v>Bacău</c:v>
                </c:pt>
                <c:pt idx="4">
                  <c:v>Bihor</c:v>
                </c:pt>
                <c:pt idx="5">
                  <c:v>Bistrița-Năsăud</c:v>
                </c:pt>
                <c:pt idx="6">
                  <c:v>Botoșani</c:v>
                </c:pt>
                <c:pt idx="7">
                  <c:v>Brașov</c:v>
                </c:pt>
                <c:pt idx="8">
                  <c:v>Brăila</c:v>
                </c:pt>
                <c:pt idx="9">
                  <c:v>Buzău</c:v>
                </c:pt>
                <c:pt idx="10">
                  <c:v>Caraș-Severin</c:v>
                </c:pt>
                <c:pt idx="11">
                  <c:v>Călărași</c:v>
                </c:pt>
                <c:pt idx="12">
                  <c:v>Cluj</c:v>
                </c:pt>
                <c:pt idx="13">
                  <c:v>Constanța </c:v>
                </c:pt>
                <c:pt idx="14">
                  <c:v>Covasna</c:v>
                </c:pt>
                <c:pt idx="15">
                  <c:v>Dâmbovița</c:v>
                </c:pt>
                <c:pt idx="16">
                  <c:v>Dolj</c:v>
                </c:pt>
                <c:pt idx="17">
                  <c:v>Galați</c:v>
                </c:pt>
                <c:pt idx="18">
                  <c:v>Giurgiu</c:v>
                </c:pt>
                <c:pt idx="19">
                  <c:v>Gorj</c:v>
                </c:pt>
                <c:pt idx="20">
                  <c:v>Harghita</c:v>
                </c:pt>
                <c:pt idx="21">
                  <c:v>Hunedoara</c:v>
                </c:pt>
                <c:pt idx="22">
                  <c:v>Ialomița </c:v>
                </c:pt>
                <c:pt idx="23">
                  <c:v>Iași</c:v>
                </c:pt>
                <c:pt idx="24">
                  <c:v>Maramureș</c:v>
                </c:pt>
                <c:pt idx="25">
                  <c:v>Mehedinți</c:v>
                </c:pt>
                <c:pt idx="26">
                  <c:v>Mureș</c:v>
                </c:pt>
                <c:pt idx="27">
                  <c:v>Neamț</c:v>
                </c:pt>
                <c:pt idx="28">
                  <c:v>Olt </c:v>
                </c:pt>
                <c:pt idx="29">
                  <c:v>Prahova </c:v>
                </c:pt>
                <c:pt idx="30">
                  <c:v>Sălaj</c:v>
                </c:pt>
                <c:pt idx="31">
                  <c:v>Satu Mare</c:v>
                </c:pt>
                <c:pt idx="32">
                  <c:v>Sibiu</c:v>
                </c:pt>
                <c:pt idx="33">
                  <c:v>Suceava</c:v>
                </c:pt>
                <c:pt idx="34">
                  <c:v>Teleorman</c:v>
                </c:pt>
                <c:pt idx="35">
                  <c:v>Timiș</c:v>
                </c:pt>
                <c:pt idx="36">
                  <c:v>Tulcea</c:v>
                </c:pt>
                <c:pt idx="37">
                  <c:v>Vâlcea</c:v>
                </c:pt>
                <c:pt idx="38">
                  <c:v>Vaslui</c:v>
                </c:pt>
                <c:pt idx="39">
                  <c:v>Vrancea</c:v>
                </c:pt>
                <c:pt idx="40">
                  <c:v>București</c:v>
                </c:pt>
                <c:pt idx="41">
                  <c:v>Ilfov</c:v>
                </c:pt>
              </c:strCache>
            </c:strRef>
          </c:cat>
          <c:val>
            <c:numRef>
              <c:f>Foaie1!$L$6:$L$342</c:f>
              <c:numCache>
                <c:formatCode>#,##0</c:formatCode>
                <c:ptCount val="42"/>
                <c:pt idx="0">
                  <c:v>5</c:v>
                </c:pt>
                <c:pt idx="1">
                  <c:v>5</c:v>
                </c:pt>
                <c:pt idx="2">
                  <c:v>1</c:v>
                </c:pt>
                <c:pt idx="3">
                  <c:v>4</c:v>
                </c:pt>
                <c:pt idx="4">
                  <c:v>4</c:v>
                </c:pt>
                <c:pt idx="5">
                  <c:v>1</c:v>
                </c:pt>
                <c:pt idx="6">
                  <c:v>7</c:v>
                </c:pt>
                <c:pt idx="7">
                  <c:v>5</c:v>
                </c:pt>
                <c:pt idx="8">
                  <c:v>4</c:v>
                </c:pt>
                <c:pt idx="9">
                  <c:v>5</c:v>
                </c:pt>
                <c:pt idx="10">
                  <c:v>4</c:v>
                </c:pt>
                <c:pt idx="11">
                  <c:v>2</c:v>
                </c:pt>
                <c:pt idx="12">
                  <c:v>5</c:v>
                </c:pt>
                <c:pt idx="13">
                  <c:v>8</c:v>
                </c:pt>
                <c:pt idx="14">
                  <c:v>3</c:v>
                </c:pt>
                <c:pt idx="15">
                  <c:v>2</c:v>
                </c:pt>
                <c:pt idx="16">
                  <c:v>2</c:v>
                </c:pt>
                <c:pt idx="17">
                  <c:v>6</c:v>
                </c:pt>
                <c:pt idx="18">
                  <c:v>11</c:v>
                </c:pt>
                <c:pt idx="19">
                  <c:v>9</c:v>
                </c:pt>
                <c:pt idx="20">
                  <c:v>5</c:v>
                </c:pt>
                <c:pt idx="21">
                  <c:v>2</c:v>
                </c:pt>
                <c:pt idx="22">
                  <c:v>4</c:v>
                </c:pt>
                <c:pt idx="23">
                  <c:v>5</c:v>
                </c:pt>
                <c:pt idx="24">
                  <c:v>3</c:v>
                </c:pt>
                <c:pt idx="25">
                  <c:v>4</c:v>
                </c:pt>
                <c:pt idx="26">
                  <c:v>14</c:v>
                </c:pt>
                <c:pt idx="27">
                  <c:v>4</c:v>
                </c:pt>
                <c:pt idx="28">
                  <c:v>8</c:v>
                </c:pt>
                <c:pt idx="29">
                  <c:v>10</c:v>
                </c:pt>
                <c:pt idx="30">
                  <c:v>0</c:v>
                </c:pt>
                <c:pt idx="31">
                  <c:v>3</c:v>
                </c:pt>
                <c:pt idx="32">
                  <c:v>8</c:v>
                </c:pt>
                <c:pt idx="33">
                  <c:v>4</c:v>
                </c:pt>
                <c:pt idx="34">
                  <c:v>0</c:v>
                </c:pt>
                <c:pt idx="35">
                  <c:v>0</c:v>
                </c:pt>
                <c:pt idx="36">
                  <c:v>8</c:v>
                </c:pt>
                <c:pt idx="37">
                  <c:v>4</c:v>
                </c:pt>
                <c:pt idx="38">
                  <c:v>9</c:v>
                </c:pt>
                <c:pt idx="39">
                  <c:v>2</c:v>
                </c:pt>
                <c:pt idx="40">
                  <c:v>3</c:v>
                </c:pt>
                <c:pt idx="41">
                  <c:v>7</c:v>
                </c:pt>
              </c:numCache>
            </c:numRef>
          </c:val>
          <c:extLst xmlns:c16r2="http://schemas.microsoft.com/office/drawing/2015/06/chart">
            <c:ext xmlns:c16="http://schemas.microsoft.com/office/drawing/2014/chart" uri="{C3380CC4-5D6E-409C-BE32-E72D297353CC}">
              <c16:uniqueId val="{00000000-5EA5-4D91-B299-81FEAB8D9EDE}"/>
            </c:ext>
          </c:extLst>
        </c:ser>
        <c:ser>
          <c:idx val="1"/>
          <c:order val="1"/>
          <c:tx>
            <c:strRef>
              <c:f>Foaie1!$M$5</c:f>
              <c:strCache>
                <c:ptCount val="1"/>
                <c:pt idx="0">
                  <c:v>Rural</c:v>
                </c:pt>
              </c:strCache>
            </c:strRef>
          </c:tx>
          <c:invertIfNegative val="0"/>
          <c:cat>
            <c:strRef>
              <c:f>Foaie1!$K$6:$K$342</c:f>
              <c:strCache>
                <c:ptCount val="42"/>
                <c:pt idx="0">
                  <c:v>Alba </c:v>
                </c:pt>
                <c:pt idx="1">
                  <c:v>Arad</c:v>
                </c:pt>
                <c:pt idx="2">
                  <c:v>Argeș </c:v>
                </c:pt>
                <c:pt idx="3">
                  <c:v>Bacău</c:v>
                </c:pt>
                <c:pt idx="4">
                  <c:v>Bihor</c:v>
                </c:pt>
                <c:pt idx="5">
                  <c:v>Bistrița-Năsăud</c:v>
                </c:pt>
                <c:pt idx="6">
                  <c:v>Botoșani</c:v>
                </c:pt>
                <c:pt idx="7">
                  <c:v>Brașov</c:v>
                </c:pt>
                <c:pt idx="8">
                  <c:v>Brăila</c:v>
                </c:pt>
                <c:pt idx="9">
                  <c:v>Buzău</c:v>
                </c:pt>
                <c:pt idx="10">
                  <c:v>Caraș-Severin</c:v>
                </c:pt>
                <c:pt idx="11">
                  <c:v>Călărași</c:v>
                </c:pt>
                <c:pt idx="12">
                  <c:v>Cluj</c:v>
                </c:pt>
                <c:pt idx="13">
                  <c:v>Constanța </c:v>
                </c:pt>
                <c:pt idx="14">
                  <c:v>Covasna</c:v>
                </c:pt>
                <c:pt idx="15">
                  <c:v>Dâmbovița</c:v>
                </c:pt>
                <c:pt idx="16">
                  <c:v>Dolj</c:v>
                </c:pt>
                <c:pt idx="17">
                  <c:v>Galați</c:v>
                </c:pt>
                <c:pt idx="18">
                  <c:v>Giurgiu</c:v>
                </c:pt>
                <c:pt idx="19">
                  <c:v>Gorj</c:v>
                </c:pt>
                <c:pt idx="20">
                  <c:v>Harghita</c:v>
                </c:pt>
                <c:pt idx="21">
                  <c:v>Hunedoara</c:v>
                </c:pt>
                <c:pt idx="22">
                  <c:v>Ialomița </c:v>
                </c:pt>
                <c:pt idx="23">
                  <c:v>Iași</c:v>
                </c:pt>
                <c:pt idx="24">
                  <c:v>Maramureș</c:v>
                </c:pt>
                <c:pt idx="25">
                  <c:v>Mehedinți</c:v>
                </c:pt>
                <c:pt idx="26">
                  <c:v>Mureș</c:v>
                </c:pt>
                <c:pt idx="27">
                  <c:v>Neamț</c:v>
                </c:pt>
                <c:pt idx="28">
                  <c:v>Olt </c:v>
                </c:pt>
                <c:pt idx="29">
                  <c:v>Prahova </c:v>
                </c:pt>
                <c:pt idx="30">
                  <c:v>Sălaj</c:v>
                </c:pt>
                <c:pt idx="31">
                  <c:v>Satu Mare</c:v>
                </c:pt>
                <c:pt idx="32">
                  <c:v>Sibiu</c:v>
                </c:pt>
                <c:pt idx="33">
                  <c:v>Suceava</c:v>
                </c:pt>
                <c:pt idx="34">
                  <c:v>Teleorman</c:v>
                </c:pt>
                <c:pt idx="35">
                  <c:v>Timiș</c:v>
                </c:pt>
                <c:pt idx="36">
                  <c:v>Tulcea</c:v>
                </c:pt>
                <c:pt idx="37">
                  <c:v>Vâlcea</c:v>
                </c:pt>
                <c:pt idx="38">
                  <c:v>Vaslui</c:v>
                </c:pt>
                <c:pt idx="39">
                  <c:v>Vrancea</c:v>
                </c:pt>
                <c:pt idx="40">
                  <c:v>București</c:v>
                </c:pt>
                <c:pt idx="41">
                  <c:v>Ilfov</c:v>
                </c:pt>
              </c:strCache>
            </c:strRef>
          </c:cat>
          <c:val>
            <c:numRef>
              <c:f>Foaie1!$M$6:$M$342</c:f>
              <c:numCache>
                <c:formatCode>#,##0</c:formatCode>
                <c:ptCount val="42"/>
                <c:pt idx="0">
                  <c:v>1</c:v>
                </c:pt>
                <c:pt idx="1">
                  <c:v>2</c:v>
                </c:pt>
                <c:pt idx="2">
                  <c:v>4</c:v>
                </c:pt>
                <c:pt idx="3">
                  <c:v>2</c:v>
                </c:pt>
                <c:pt idx="4">
                  <c:v>9</c:v>
                </c:pt>
                <c:pt idx="5">
                  <c:v>8</c:v>
                </c:pt>
                <c:pt idx="6">
                  <c:v>10</c:v>
                </c:pt>
                <c:pt idx="7">
                  <c:v>5</c:v>
                </c:pt>
                <c:pt idx="8">
                  <c:v>5</c:v>
                </c:pt>
                <c:pt idx="9">
                  <c:v>9</c:v>
                </c:pt>
                <c:pt idx="10">
                  <c:v>2</c:v>
                </c:pt>
                <c:pt idx="11">
                  <c:v>11</c:v>
                </c:pt>
                <c:pt idx="12">
                  <c:v>3</c:v>
                </c:pt>
                <c:pt idx="13">
                  <c:v>2</c:v>
                </c:pt>
                <c:pt idx="14">
                  <c:v>7</c:v>
                </c:pt>
                <c:pt idx="15">
                  <c:v>2</c:v>
                </c:pt>
                <c:pt idx="16">
                  <c:v>13</c:v>
                </c:pt>
                <c:pt idx="17">
                  <c:v>17</c:v>
                </c:pt>
                <c:pt idx="18">
                  <c:v>10</c:v>
                </c:pt>
                <c:pt idx="19">
                  <c:v>6</c:v>
                </c:pt>
                <c:pt idx="20">
                  <c:v>12</c:v>
                </c:pt>
                <c:pt idx="21">
                  <c:v>0</c:v>
                </c:pt>
                <c:pt idx="22">
                  <c:v>1</c:v>
                </c:pt>
                <c:pt idx="23">
                  <c:v>12</c:v>
                </c:pt>
                <c:pt idx="24">
                  <c:v>1</c:v>
                </c:pt>
                <c:pt idx="25">
                  <c:v>15</c:v>
                </c:pt>
                <c:pt idx="26">
                  <c:v>22</c:v>
                </c:pt>
                <c:pt idx="27">
                  <c:v>4</c:v>
                </c:pt>
                <c:pt idx="28">
                  <c:v>1</c:v>
                </c:pt>
                <c:pt idx="29">
                  <c:v>8</c:v>
                </c:pt>
                <c:pt idx="30">
                  <c:v>5</c:v>
                </c:pt>
                <c:pt idx="31">
                  <c:v>3</c:v>
                </c:pt>
                <c:pt idx="32">
                  <c:v>21</c:v>
                </c:pt>
                <c:pt idx="33">
                  <c:v>1</c:v>
                </c:pt>
                <c:pt idx="34">
                  <c:v>1</c:v>
                </c:pt>
                <c:pt idx="35">
                  <c:v>1</c:v>
                </c:pt>
                <c:pt idx="36">
                  <c:v>5</c:v>
                </c:pt>
                <c:pt idx="37">
                  <c:v>2</c:v>
                </c:pt>
                <c:pt idx="38">
                  <c:v>13</c:v>
                </c:pt>
                <c:pt idx="39">
                  <c:v>6</c:v>
                </c:pt>
                <c:pt idx="41">
                  <c:v>8</c:v>
                </c:pt>
              </c:numCache>
            </c:numRef>
          </c:val>
          <c:extLst xmlns:c16r2="http://schemas.microsoft.com/office/drawing/2015/06/chart">
            <c:ext xmlns:c16="http://schemas.microsoft.com/office/drawing/2014/chart" uri="{C3380CC4-5D6E-409C-BE32-E72D297353CC}">
              <c16:uniqueId val="{00000001-5EA5-4D91-B299-81FEAB8D9EDE}"/>
            </c:ext>
          </c:extLst>
        </c:ser>
        <c:dLbls>
          <c:showLegendKey val="0"/>
          <c:showVal val="0"/>
          <c:showCatName val="0"/>
          <c:showSerName val="0"/>
          <c:showPercent val="0"/>
          <c:showBubbleSize val="0"/>
        </c:dLbls>
        <c:gapWidth val="150"/>
        <c:axId val="343062784"/>
        <c:axId val="343064576"/>
      </c:barChart>
      <c:catAx>
        <c:axId val="343062784"/>
        <c:scaling>
          <c:orientation val="minMax"/>
        </c:scaling>
        <c:delete val="0"/>
        <c:axPos val="b"/>
        <c:numFmt formatCode="General" sourceLinked="0"/>
        <c:majorTickMark val="out"/>
        <c:minorTickMark val="none"/>
        <c:tickLblPos val="nextTo"/>
        <c:txPr>
          <a:bodyPr/>
          <a:lstStyle/>
          <a:p>
            <a:pPr>
              <a:defRPr sz="700" b="1">
                <a:latin typeface="Times New Roman" pitchFamily="18" charset="0"/>
                <a:cs typeface="Times New Roman" pitchFamily="18" charset="0"/>
              </a:defRPr>
            </a:pPr>
            <a:endParaRPr lang="ro-RO"/>
          </a:p>
        </c:txPr>
        <c:crossAx val="343064576"/>
        <c:crosses val="autoZero"/>
        <c:auto val="1"/>
        <c:lblAlgn val="ctr"/>
        <c:lblOffset val="100"/>
        <c:noMultiLvlLbl val="0"/>
      </c:catAx>
      <c:valAx>
        <c:axId val="343064576"/>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o-RO"/>
          </a:p>
        </c:txPr>
        <c:crossAx val="343062784"/>
        <c:crosses val="autoZero"/>
        <c:crossBetween val="between"/>
      </c:valAx>
    </c:plotArea>
    <c:legend>
      <c:legendPos val="r"/>
      <c:overlay val="0"/>
      <c:txPr>
        <a:bodyPr/>
        <a:lstStyle/>
        <a:p>
          <a:pPr>
            <a:defRPr>
              <a:latin typeface="Times New Roman" pitchFamily="18" charset="0"/>
              <a:cs typeface="Times New Roman" pitchFamily="18" charset="0"/>
            </a:defRPr>
          </a:pPr>
          <a:endParaRPr lang="ro-RO"/>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0.04115</cdr:x>
      <cdr:y>0.01461</cdr:y>
    </cdr:from>
    <cdr:to>
      <cdr:x>0.98655</cdr:x>
      <cdr:y>0.06496</cdr:y>
    </cdr:to>
    <cdr:sp macro="" textlink="">
      <cdr:nvSpPr>
        <cdr:cNvPr id="37" name="xlamLegend1"/>
        <cdr:cNvSpPr/>
      </cdr:nvSpPr>
      <cdr:spPr>
        <a:xfrm xmlns:a="http://schemas.openxmlformats.org/drawingml/2006/main">
          <a:off x="318969" y="46916"/>
          <a:ext cx="6132011" cy="163227"/>
        </a:xfrm>
        <a:prstGeom xmlns:a="http://schemas.openxmlformats.org/drawingml/2006/main" prst="rect">
          <a:avLst/>
        </a:prstGeom>
        <a:solidFill xmlns:a="http://schemas.openxmlformats.org/drawingml/2006/main">
          <a:srgbClr val="EAEAEA"/>
        </a:solidFill>
        <a:ln xmlns:a="http://schemas.openxmlformats.org/drawingml/2006/main" w="0" cap="flat" cmpd="sng" algn="ctr">
          <a:noFill/>
          <a:prstDash val="solid"/>
        </a:ln>
        <a:effectLst xmlns:a="http://schemas.openxmlformats.org/drawingml/2006/main"/>
        <a:extLst xmlns:a="http://schemas.openxmlformats.org/drawingml/2006/main">
          <a:ext uri="{91240B29-F687-4F45-9708-019B960494DF}">
            <a14:hiddenLine xmlns:a14="http://schemas.microsoft.com/office/drawing/2010/main" w="0" cap="flat" cmpd="sng" algn="ctr">
              <a:solidFill>
                <a:schemeClr val="accent1">
                  <a:shade val="50000"/>
                </a:schemeClr>
              </a:solidFill>
              <a:prstDash val="solid"/>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relSizeAnchor>
  <cdr:relSizeAnchor xmlns:cdr="http://schemas.openxmlformats.org/drawingml/2006/chartDrawing">
    <cdr:from>
      <cdr:x>0.06547</cdr:x>
      <cdr:y>0.01973</cdr:y>
    </cdr:from>
    <cdr:to>
      <cdr:x>0.16685</cdr:x>
      <cdr:y>0.04448</cdr:y>
    </cdr:to>
    <cdr:grpSp>
      <cdr:nvGrpSpPr>
        <cdr:cNvPr id="19" name="xlamLegendEntry11"/>
        <cdr:cNvGrpSpPr/>
      </cdr:nvGrpSpPr>
      <cdr:grpSpPr>
        <a:xfrm xmlns:a="http://schemas.openxmlformats.org/drawingml/2006/main">
          <a:off x="570764" y="88028"/>
          <a:ext cx="883833" cy="110415"/>
          <a:chOff x="180000" y="43400"/>
          <a:chExt cx="717604" cy="118184"/>
        </a:xfrm>
      </cdr:grpSpPr>
      <cdr:sp macro="" textlink="">
        <cdr:nvSpPr>
          <cdr:cNvPr id="51" name="xlamLegendSymbol11"/>
          <cdr:cNvSpPr/>
        </cdr:nvSpPr>
        <cdr:spPr>
          <a:xfrm xmlns:a="http://schemas.openxmlformats.org/drawingml/2006/main">
            <a:off x="180000" y="61400"/>
            <a:ext cx="144000" cy="72000"/>
          </a:xfrm>
          <a:prstGeom xmlns:a="http://schemas.openxmlformats.org/drawingml/2006/main" prst="rect">
            <a:avLst/>
          </a:prstGeom>
          <a:solidFill xmlns:a="http://schemas.openxmlformats.org/drawingml/2006/main">
            <a:srgbClr val="4F81BD"/>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52" name="xlamLegendText11"/>
          <cdr:cNvSpPr txBox="1"/>
        </cdr:nvSpPr>
        <cdr:spPr>
          <a:xfrm xmlns:a="http://schemas.openxmlformats.org/drawingml/2006/main">
            <a:off x="396000" y="43400"/>
            <a:ext cx="501604" cy="118184"/>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ro-RO" sz="750" b="0" i="0">
                <a:solidFill>
                  <a:srgbClr val="000000"/>
                </a:solidFill>
                <a:latin typeface="Arial Narrow" panose="020B0606020202030204" pitchFamily="34" charset="0"/>
              </a:rPr>
              <a:t>Îngrijiri</a:t>
            </a:r>
            <a:r>
              <a:rPr lang="ro-RO" sz="750" b="0" i="0" baseline="0">
                <a:solidFill>
                  <a:srgbClr val="000000"/>
                </a:solidFill>
                <a:latin typeface="Arial Narrow" panose="020B0606020202030204" pitchFamily="34" charset="0"/>
              </a:rPr>
              <a:t> spitalicești</a:t>
            </a:r>
            <a:endParaRPr lang="en-GB" sz="750" b="0" i="0">
              <a:solidFill>
                <a:srgbClr val="000000"/>
              </a:solidFill>
              <a:latin typeface="Arial Narrow" panose="020B0606020202030204" pitchFamily="34" charset="0"/>
            </a:endParaRPr>
          </a:p>
        </cdr:txBody>
      </cdr:sp>
    </cdr:grpSp>
  </cdr:relSizeAnchor>
  <cdr:relSizeAnchor xmlns:cdr="http://schemas.openxmlformats.org/drawingml/2006/chartDrawing">
    <cdr:from>
      <cdr:x>0.21493</cdr:x>
      <cdr:y>0.01939</cdr:y>
    </cdr:from>
    <cdr:to>
      <cdr:x>0.33412</cdr:x>
      <cdr:y>0.04413</cdr:y>
    </cdr:to>
    <cdr:grpSp>
      <cdr:nvGrpSpPr>
        <cdr:cNvPr id="20" name="xlamLegendEntry21"/>
        <cdr:cNvGrpSpPr/>
      </cdr:nvGrpSpPr>
      <cdr:grpSpPr>
        <a:xfrm xmlns:a="http://schemas.openxmlformats.org/drawingml/2006/main">
          <a:off x="1873779" y="86488"/>
          <a:ext cx="1039050" cy="110415"/>
          <a:chOff x="1237934" y="41757"/>
          <a:chExt cx="843581" cy="118183"/>
        </a:xfrm>
      </cdr:grpSpPr>
      <cdr:sp macro="" textlink="">
        <cdr:nvSpPr>
          <cdr:cNvPr id="49" name="xlamLegendSymbol21"/>
          <cdr:cNvSpPr/>
        </cdr:nvSpPr>
        <cdr:spPr>
          <a:xfrm xmlns:a="http://schemas.openxmlformats.org/drawingml/2006/main">
            <a:off x="1237934" y="61400"/>
            <a:ext cx="144000" cy="72000"/>
          </a:xfrm>
          <a:prstGeom xmlns:a="http://schemas.openxmlformats.org/drawingml/2006/main" prst="rect">
            <a:avLst/>
          </a:prstGeom>
          <a:solidFill xmlns:a="http://schemas.openxmlformats.org/drawingml/2006/main">
            <a:srgbClr val="CCCCCC"/>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50" name="xlamLegendText21"/>
          <cdr:cNvSpPr txBox="1"/>
        </cdr:nvSpPr>
        <cdr:spPr>
          <a:xfrm xmlns:a="http://schemas.openxmlformats.org/drawingml/2006/main">
            <a:off x="1451722" y="41757"/>
            <a:ext cx="629793" cy="118183"/>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ro-RO" sz="750" b="0" i="0">
                <a:solidFill>
                  <a:srgbClr val="000000"/>
                </a:solidFill>
                <a:latin typeface="Arial Narrow" panose="020B0606020202030204" pitchFamily="34" charset="0"/>
              </a:rPr>
              <a:t>Îngrijiri</a:t>
            </a:r>
            <a:r>
              <a:rPr lang="ro-RO" sz="750" b="0" i="0" baseline="0">
                <a:solidFill>
                  <a:srgbClr val="000000"/>
                </a:solidFill>
                <a:latin typeface="Arial Narrow" panose="020B0606020202030204" pitchFamily="34" charset="0"/>
              </a:rPr>
              <a:t> în a</a:t>
            </a:r>
            <a:r>
              <a:rPr lang="ro-RO" sz="750" b="0" i="0">
                <a:solidFill>
                  <a:srgbClr val="000000"/>
                </a:solidFill>
                <a:latin typeface="Arial Narrow" panose="020B0606020202030204" pitchFamily="34" charset="0"/>
              </a:rPr>
              <a:t>mbulatoriu</a:t>
            </a:r>
            <a:endParaRPr lang="en-GB" sz="750" b="0" i="0">
              <a:solidFill>
                <a:srgbClr val="000000"/>
              </a:solidFill>
              <a:latin typeface="Arial Narrow" panose="020B0606020202030204" pitchFamily="34" charset="0"/>
            </a:endParaRPr>
          </a:p>
        </cdr:txBody>
      </cdr:sp>
    </cdr:grpSp>
  </cdr:relSizeAnchor>
  <cdr:relSizeAnchor xmlns:cdr="http://schemas.openxmlformats.org/drawingml/2006/chartDrawing">
    <cdr:from>
      <cdr:x>0.37595</cdr:x>
      <cdr:y>0.01939</cdr:y>
    </cdr:from>
    <cdr:to>
      <cdr:x>0.49598</cdr:x>
      <cdr:y>0.04413</cdr:y>
    </cdr:to>
    <cdr:grpSp>
      <cdr:nvGrpSpPr>
        <cdr:cNvPr id="21" name="xlamLegendEntry31"/>
        <cdr:cNvGrpSpPr/>
      </cdr:nvGrpSpPr>
      <cdr:grpSpPr>
        <a:xfrm xmlns:a="http://schemas.openxmlformats.org/drawingml/2006/main">
          <a:off x="3277514" y="86488"/>
          <a:ext cx="1046380" cy="110415"/>
          <a:chOff x="2377667" y="41757"/>
          <a:chExt cx="849518" cy="118183"/>
        </a:xfrm>
      </cdr:grpSpPr>
      <cdr:sp macro="" textlink="">
        <cdr:nvSpPr>
          <cdr:cNvPr id="47" name="xlamLegendSymbol31"/>
          <cdr:cNvSpPr/>
        </cdr:nvSpPr>
        <cdr:spPr>
          <a:xfrm xmlns:a="http://schemas.openxmlformats.org/drawingml/2006/main">
            <a:off x="2377667" y="61400"/>
            <a:ext cx="144000" cy="72000"/>
          </a:xfrm>
          <a:prstGeom xmlns:a="http://schemas.openxmlformats.org/drawingml/2006/main" prst="rect">
            <a:avLst/>
          </a:prstGeom>
          <a:solidFill xmlns:a="http://schemas.openxmlformats.org/drawingml/2006/main">
            <a:srgbClr val="A7B9E3"/>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48" name="xlamLegendText31"/>
          <cdr:cNvSpPr txBox="1"/>
        </cdr:nvSpPr>
        <cdr:spPr>
          <a:xfrm xmlns:a="http://schemas.openxmlformats.org/drawingml/2006/main">
            <a:off x="2593810" y="41757"/>
            <a:ext cx="633375" cy="118183"/>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ro-RO" sz="750" b="0" i="0">
                <a:solidFill>
                  <a:srgbClr val="000000"/>
                </a:solidFill>
                <a:latin typeface="Arial Narrow" panose="020B0606020202030204" pitchFamily="34" charset="0"/>
              </a:rPr>
              <a:t>Îngrijiri</a:t>
            </a:r>
            <a:r>
              <a:rPr lang="ro-RO" sz="750" b="0" i="0" baseline="0">
                <a:solidFill>
                  <a:srgbClr val="000000"/>
                </a:solidFill>
                <a:latin typeface="Arial Narrow" panose="020B0606020202030204" pitchFamily="34" charset="0"/>
              </a:rPr>
              <a:t> pe termen lung</a:t>
            </a:r>
            <a:endParaRPr lang="en-GB" sz="750" b="0" i="0">
              <a:solidFill>
                <a:srgbClr val="000000"/>
              </a:solidFill>
              <a:latin typeface="Arial Narrow" panose="020B0606020202030204" pitchFamily="34" charset="0"/>
            </a:endParaRPr>
          </a:p>
        </cdr:txBody>
      </cdr:sp>
    </cdr:grpSp>
  </cdr:relSizeAnchor>
  <cdr:relSizeAnchor xmlns:cdr="http://schemas.openxmlformats.org/drawingml/2006/chartDrawing">
    <cdr:from>
      <cdr:x>0.52928</cdr:x>
      <cdr:y>0.01939</cdr:y>
    </cdr:from>
    <cdr:to>
      <cdr:x>0.61577</cdr:x>
      <cdr:y>0.04413</cdr:y>
    </cdr:to>
    <cdr:grpSp>
      <cdr:nvGrpSpPr>
        <cdr:cNvPr id="22" name="xlamLegendEntry41"/>
        <cdr:cNvGrpSpPr/>
      </cdr:nvGrpSpPr>
      <cdr:grpSpPr>
        <a:xfrm xmlns:a="http://schemas.openxmlformats.org/drawingml/2006/main">
          <a:off x="4614202" y="86488"/>
          <a:ext cx="754033" cy="110415"/>
          <a:chOff x="3462867" y="41757"/>
          <a:chExt cx="612223" cy="118183"/>
        </a:xfrm>
      </cdr:grpSpPr>
      <cdr:sp macro="" textlink="">
        <cdr:nvSpPr>
          <cdr:cNvPr id="45" name="xlamLegendSymbol41"/>
          <cdr:cNvSpPr/>
        </cdr:nvSpPr>
        <cdr:spPr>
          <a:xfrm xmlns:a="http://schemas.openxmlformats.org/drawingml/2006/main">
            <a:off x="3462867" y="61400"/>
            <a:ext cx="144000" cy="72000"/>
          </a:xfrm>
          <a:prstGeom xmlns:a="http://schemas.openxmlformats.org/drawingml/2006/main" prst="rect">
            <a:avLst/>
          </a:prstGeom>
          <a:solidFill xmlns:a="http://schemas.openxmlformats.org/drawingml/2006/main">
            <a:srgbClr val="929292"/>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46" name="xlamLegendText41"/>
          <cdr:cNvSpPr txBox="1"/>
        </cdr:nvSpPr>
        <cdr:spPr>
          <a:xfrm xmlns:a="http://schemas.openxmlformats.org/drawingml/2006/main">
            <a:off x="3676458" y="41757"/>
            <a:ext cx="398632" cy="118183"/>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50" b="0" i="0">
                <a:solidFill>
                  <a:srgbClr val="000000"/>
                </a:solidFill>
                <a:latin typeface="Arial Narrow" panose="020B0606020202030204" pitchFamily="34" charset="0"/>
              </a:rPr>
              <a:t>Medica</a:t>
            </a:r>
            <a:r>
              <a:rPr lang="ro-RO" sz="750" b="0" i="0">
                <a:solidFill>
                  <a:srgbClr val="000000"/>
                </a:solidFill>
                <a:latin typeface="Arial Narrow" panose="020B0606020202030204" pitchFamily="34" charset="0"/>
              </a:rPr>
              <a:t>mente</a:t>
            </a:r>
            <a:endParaRPr lang="en-GB" sz="750" b="0" i="0">
              <a:solidFill>
                <a:srgbClr val="000000"/>
              </a:solidFill>
              <a:latin typeface="Arial Narrow" panose="020B0606020202030204" pitchFamily="34" charset="0"/>
            </a:endParaRPr>
          </a:p>
        </cdr:txBody>
      </cdr:sp>
    </cdr:grpSp>
  </cdr:relSizeAnchor>
  <cdr:relSizeAnchor xmlns:cdr="http://schemas.openxmlformats.org/drawingml/2006/chartDrawing">
    <cdr:from>
      <cdr:x>0.67874</cdr:x>
      <cdr:y>0.01939</cdr:y>
    </cdr:from>
    <cdr:to>
      <cdr:x>0.93574</cdr:x>
      <cdr:y>0.04413</cdr:y>
    </cdr:to>
    <cdr:grpSp>
      <cdr:nvGrpSpPr>
        <cdr:cNvPr id="23" name="xlamLegendEntry51"/>
        <cdr:cNvGrpSpPr/>
      </cdr:nvGrpSpPr>
      <cdr:grpSpPr>
        <a:xfrm xmlns:a="http://schemas.openxmlformats.org/drawingml/2006/main">
          <a:off x="5917228" y="86488"/>
          <a:ext cx="2240497" cy="110415"/>
          <a:chOff x="4520802" y="41757"/>
          <a:chExt cx="1819098" cy="118183"/>
        </a:xfrm>
      </cdr:grpSpPr>
      <cdr:sp macro="" textlink="">
        <cdr:nvSpPr>
          <cdr:cNvPr id="43" name="xlamLegendSymbol51"/>
          <cdr:cNvSpPr/>
        </cdr:nvSpPr>
        <cdr:spPr>
          <a:xfrm xmlns:a="http://schemas.openxmlformats.org/drawingml/2006/main">
            <a:off x="4520802" y="61400"/>
            <a:ext cx="144000" cy="72000"/>
          </a:xfrm>
          <a:prstGeom xmlns:a="http://schemas.openxmlformats.org/drawingml/2006/main" prst="rect">
            <a:avLst/>
          </a:prstGeom>
          <a:solidFill xmlns:a="http://schemas.openxmlformats.org/drawingml/2006/main">
            <a:srgbClr val="EDF0F7"/>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44" name="xlamLegendText51"/>
          <cdr:cNvSpPr txBox="1"/>
        </cdr:nvSpPr>
        <cdr:spPr>
          <a:xfrm xmlns:a="http://schemas.openxmlformats.org/drawingml/2006/main">
            <a:off x="4735143" y="41757"/>
            <a:ext cx="1604757" cy="118183"/>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ro-RO" sz="750" b="0" i="0">
                <a:solidFill>
                  <a:srgbClr val="000000"/>
                </a:solidFill>
                <a:latin typeface="Arial Narrow" panose="020B0606020202030204" pitchFamily="34" charset="0"/>
              </a:rPr>
              <a:t>Servicii</a:t>
            </a:r>
            <a:r>
              <a:rPr lang="ro-RO" sz="750" b="0" i="0" baseline="0">
                <a:solidFill>
                  <a:srgbClr val="000000"/>
                </a:solidFill>
                <a:latin typeface="Arial Narrow" panose="020B0606020202030204" pitchFamily="34" charset="0"/>
              </a:rPr>
              <a:t>  colective (promovare, prevenție, administrative) </a:t>
            </a:r>
            <a:endParaRPr lang="en-GB" sz="750" b="0" i="0">
              <a:solidFill>
                <a:srgbClr val="000000"/>
              </a:solidFill>
              <a:latin typeface="Arial Narrow" panose="020B0606020202030204" pitchFamily="34" charset="0"/>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0.03433</cdr:x>
      <cdr:y>0.02533</cdr:y>
    </cdr:from>
    <cdr:to>
      <cdr:x>1</cdr:x>
      <cdr:y>0.07543</cdr:y>
    </cdr:to>
    <cdr:sp macro="" textlink="">
      <cdr:nvSpPr>
        <cdr:cNvPr id="36" name="xlamLegend1"/>
        <cdr:cNvSpPr/>
      </cdr:nvSpPr>
      <cdr:spPr>
        <a:xfrm xmlns:a="http://schemas.openxmlformats.org/drawingml/2006/main">
          <a:off x="199671" y="67512"/>
          <a:ext cx="5562954" cy="133521"/>
        </a:xfrm>
        <a:prstGeom xmlns:a="http://schemas.openxmlformats.org/drawingml/2006/main" prst="rect">
          <a:avLst/>
        </a:prstGeom>
        <a:solidFill xmlns:a="http://schemas.openxmlformats.org/drawingml/2006/main">
          <a:srgbClr val="EAEAEA"/>
        </a:solidFill>
        <a:ln xmlns:a="http://schemas.openxmlformats.org/drawingml/2006/main" w="0" cap="flat" cmpd="sng" algn="ctr">
          <a:noFill/>
          <a:prstDash val="solid"/>
        </a:ln>
        <a:effectLst xmlns:a="http://schemas.openxmlformats.org/drawingml/2006/main"/>
        <a:extLst xmlns:a="http://schemas.openxmlformats.org/drawingml/2006/main">
          <a:ext uri="{91240B29-F687-4F45-9708-019B960494DF}">
            <a14:hiddenLine xmlns:a14="http://schemas.microsoft.com/office/drawing/2010/main" w="0" cap="flat" cmpd="sng" algn="ctr">
              <a:solidFill>
                <a:schemeClr val="accent1">
                  <a:shade val="50000"/>
                </a:schemeClr>
              </a:solidFill>
              <a:prstDash val="solid"/>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relSizeAnchor>
  <cdr:relSizeAnchor xmlns:cdr="http://schemas.openxmlformats.org/drawingml/2006/chartDrawing">
    <cdr:from>
      <cdr:x>0.12899</cdr:x>
      <cdr:y>0.02738</cdr:y>
    </cdr:from>
    <cdr:to>
      <cdr:x>0.21953</cdr:x>
      <cdr:y>0.06221</cdr:y>
    </cdr:to>
    <cdr:grpSp>
      <cdr:nvGrpSpPr>
        <cdr:cNvPr id="13" name="xlamLegendEntry11"/>
        <cdr:cNvGrpSpPr/>
      </cdr:nvGrpSpPr>
      <cdr:grpSpPr>
        <a:xfrm xmlns:a="http://schemas.openxmlformats.org/drawingml/2006/main">
          <a:off x="894442" y="87836"/>
          <a:ext cx="627823" cy="111735"/>
          <a:chOff x="535600" y="43400"/>
          <a:chExt cx="532137" cy="119880"/>
        </a:xfrm>
      </cdr:grpSpPr>
      <cdr:sp macro="" textlink="">
        <cdr:nvSpPr>
          <cdr:cNvPr id="44" name="xlamLegendSymbol11"/>
          <cdr:cNvSpPr/>
        </cdr:nvSpPr>
        <cdr:spPr>
          <a:xfrm xmlns:a="http://schemas.openxmlformats.org/drawingml/2006/main">
            <a:off x="535600" y="61400"/>
            <a:ext cx="144000" cy="72000"/>
          </a:xfrm>
          <a:prstGeom xmlns:a="http://schemas.openxmlformats.org/drawingml/2006/main" prst="rect">
            <a:avLst/>
          </a:prstGeom>
          <a:solidFill xmlns:a="http://schemas.openxmlformats.org/drawingml/2006/main">
            <a:srgbClr val="4F81BD"/>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45" name="xlamLegendText11"/>
          <cdr:cNvSpPr txBox="1"/>
        </cdr:nvSpPr>
        <cdr:spPr>
          <a:xfrm xmlns:a="http://schemas.openxmlformats.org/drawingml/2006/main">
            <a:off x="751600" y="43400"/>
            <a:ext cx="316137" cy="11988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50" b="0" i="0">
                <a:solidFill>
                  <a:srgbClr val="000000"/>
                </a:solidFill>
                <a:latin typeface="Arial Narrow" panose="020B0606020202030204" pitchFamily="34" charset="0"/>
              </a:rPr>
              <a:t>2004-2008</a:t>
            </a:r>
          </a:p>
        </cdr:txBody>
      </cdr:sp>
    </cdr:grpSp>
  </cdr:relSizeAnchor>
  <cdr:relSizeAnchor xmlns:cdr="http://schemas.openxmlformats.org/drawingml/2006/chartDrawing">
    <cdr:from>
      <cdr:x>0.45304</cdr:x>
      <cdr:y>0.02694</cdr:y>
    </cdr:from>
    <cdr:to>
      <cdr:x>0.54389</cdr:x>
      <cdr:y>0.06177</cdr:y>
    </cdr:to>
    <cdr:grpSp>
      <cdr:nvGrpSpPr>
        <cdr:cNvPr id="14" name="xlamLegendEntry21"/>
        <cdr:cNvGrpSpPr/>
      </cdr:nvGrpSpPr>
      <cdr:grpSpPr>
        <a:xfrm xmlns:a="http://schemas.openxmlformats.org/drawingml/2006/main">
          <a:off x="2609850" y="71798"/>
          <a:ext cx="523362" cy="92825"/>
          <a:chOff x="2541137" y="41884"/>
          <a:chExt cx="533931" cy="119880"/>
        </a:xfrm>
      </cdr:grpSpPr>
      <cdr:sp macro="" textlink="">
        <cdr:nvSpPr>
          <cdr:cNvPr id="42" name="xlamLegendSymbol21"/>
          <cdr:cNvSpPr/>
        </cdr:nvSpPr>
        <cdr:spPr>
          <a:xfrm xmlns:a="http://schemas.openxmlformats.org/drawingml/2006/main">
            <a:off x="2541137" y="61400"/>
            <a:ext cx="144000" cy="72000"/>
          </a:xfrm>
          <a:prstGeom xmlns:a="http://schemas.openxmlformats.org/drawingml/2006/main" prst="rect">
            <a:avLst/>
          </a:prstGeom>
          <a:solidFill xmlns:a="http://schemas.openxmlformats.org/drawingml/2006/main">
            <a:srgbClr val="CCCCCC"/>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43" name="xlamLegendText21"/>
          <cdr:cNvSpPr txBox="1"/>
        </cdr:nvSpPr>
        <cdr:spPr>
          <a:xfrm xmlns:a="http://schemas.openxmlformats.org/drawingml/2006/main">
            <a:off x="2758931" y="41884"/>
            <a:ext cx="316137" cy="11988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50" b="0" i="0">
                <a:solidFill>
                  <a:srgbClr val="000000"/>
                </a:solidFill>
                <a:latin typeface="Arial Narrow" panose="020B0606020202030204" pitchFamily="34" charset="0"/>
              </a:rPr>
              <a:t>2008-2012</a:t>
            </a:r>
          </a:p>
        </cdr:txBody>
      </cdr:sp>
    </cdr:grpSp>
  </cdr:relSizeAnchor>
  <cdr:relSizeAnchor xmlns:cdr="http://schemas.openxmlformats.org/drawingml/2006/chartDrawing">
    <cdr:from>
      <cdr:x>0.80407</cdr:x>
      <cdr:y>0.02528</cdr:y>
    </cdr:from>
    <cdr:to>
      <cdr:x>0.91402</cdr:x>
      <cdr:y>0.0672</cdr:y>
    </cdr:to>
    <cdr:grpSp>
      <cdr:nvGrpSpPr>
        <cdr:cNvPr id="15" name="xlamLegendEntry31"/>
        <cdr:cNvGrpSpPr/>
      </cdr:nvGrpSpPr>
      <cdr:grpSpPr>
        <a:xfrm xmlns:a="http://schemas.openxmlformats.org/drawingml/2006/main">
          <a:off x="4632034" y="67379"/>
          <a:ext cx="633388" cy="111721"/>
          <a:chOff x="4566146" y="41884"/>
          <a:chExt cx="536853" cy="119880"/>
        </a:xfrm>
      </cdr:grpSpPr>
      <cdr:sp macro="" textlink="">
        <cdr:nvSpPr>
          <cdr:cNvPr id="40" name="xlamLegendSymbol31"/>
          <cdr:cNvSpPr/>
        </cdr:nvSpPr>
        <cdr:spPr>
          <a:xfrm xmlns:a="http://schemas.openxmlformats.org/drawingml/2006/main">
            <a:off x="4566146" y="61400"/>
            <a:ext cx="144000" cy="72000"/>
          </a:xfrm>
          <a:prstGeom xmlns:a="http://schemas.openxmlformats.org/drawingml/2006/main" prst="rect">
            <a:avLst/>
          </a:prstGeom>
          <a:solidFill xmlns:a="http://schemas.openxmlformats.org/drawingml/2006/main">
            <a:srgbClr val="A7B9E3"/>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endParaRPr lang="en-GB"/>
          </a:p>
        </cdr:txBody>
      </cdr:sp>
      <cdr:sp macro="" textlink="">
        <cdr:nvSpPr>
          <cdr:cNvPr id="41" name="xlamLegendText31"/>
          <cdr:cNvSpPr txBox="1"/>
        </cdr:nvSpPr>
        <cdr:spPr>
          <a:xfrm xmlns:a="http://schemas.openxmlformats.org/drawingml/2006/main">
            <a:off x="4786862" y="41884"/>
            <a:ext cx="316137" cy="11988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50" b="0" i="0">
                <a:solidFill>
                  <a:srgbClr val="000000"/>
                </a:solidFill>
                <a:latin typeface="Arial Narrow" panose="020B0606020202030204" pitchFamily="34" charset="0"/>
              </a:rPr>
              <a:t>2012-2016</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Wor17</b:Tag>
    <b:SourceType>InternetSite</b:SourceType>
    <b:Guid>{598A6148-031B-406A-ABD1-48470A9AC337}</b:Guid>
    <b:Author>
      <b:Author>
        <b:Corporate>World Health Organization</b:Corporate>
      </b:Author>
    </b:Author>
    <b:InternetSiteTitle>Depression - Fact Sheet</b:InternetSiteTitle>
    <b:Year>2017</b:Year>
    <b:YearAccessed>2017 </b:YearAccessed>
    <b:MonthAccessed>March </b:MonthAccessed>
    <b:DayAccessed>21</b:DayAccessed>
    <b:URL>http://www.who.int/mediacentre/factsheets/fs369/en/</b:URL>
    <b:RefOrder>1</b:RefOrder>
  </b:Source>
  <b:Source>
    <b:Tag>Wor13</b:Tag>
    <b:SourceType>Report</b:SourceType>
    <b:Guid>{529D5B0B-CFE7-4C31-806F-F0C559E17EC8}</b:Guid>
    <b:Year>2013</b:Year>
    <b:Author>
      <b:Author>
        <b:Corporate>World Health Organization</b:Corporate>
      </b:Author>
    </b:Author>
    <b:Title>Mental health action plan 2013-2020</b:Title>
    <b:StandardNumber>978 92 4 150602 1</b:StandardNumber>
    <b:RefOrder>2</b:RefOrder>
  </b:Source>
  <b:Source>
    <b:Tag>Fer13</b:Tag>
    <b:SourceType>JournalArticle</b:SourceType>
    <b:Guid>{6E7F5552-DAE7-4557-84BB-0D1844105BEE}</b:Guid>
    <b:Title>Burden of Depressive Disorders by Country, Sex, Age, and Year: Findings from the Global Burden of Disease Study 2010</b:Title>
    <b:Year>2013</b:Year>
    <b:Author>
      <b:Author>
        <b:NameList>
          <b:Person>
            <b:Last>Ferrari</b:Last>
            <b:Middle>J</b:Middle>
            <b:First>Alize</b:First>
          </b:Person>
          <b:Person>
            <b:Last>Charlson </b:Last>
            <b:Middle>J</b:Middle>
            <b:First>Fiona </b:First>
          </b:Person>
          <b:Person>
            <b:Last>Norman</b:Last>
            <b:Middle>E</b:Middle>
            <b:First>Rosana</b:First>
          </b:Person>
          <b:Person>
            <b:Last>Patten</b:Last>
            <b:Middle>B</b:Middle>
            <b:First>Scott</b:First>
          </b:Person>
          <b:Person>
            <b:Last>Freedman </b:Last>
            <b:First>Greg</b:First>
          </b:Person>
          <b:Person>
            <b:Last>Murray</b:Last>
            <b:Middle>JL</b:Middle>
            <b:First>Christopher</b:First>
          </b:Person>
          <b:Person>
            <b:Last>Vos</b:Last>
            <b:First>Theo</b:First>
          </b:Person>
          <b:Person>
            <b:Last>Whiteford</b:Last>
            <b:Middle>A</b:Middle>
            <b:First>Harvey</b:First>
          </b:Person>
        </b:NameList>
      </b:Author>
    </b:Author>
    <b:JournalName>PLOS Medicine</b:JournalName>
    <b:Month>November</b:Month>
    <b:RefOrder>3</b:RefOrder>
  </b:Source>
  <b:Source>
    <b:Tag>Wor171</b:Tag>
    <b:SourceType>Report</b:SourceType>
    <b:Guid>{69CA199C-972D-45A4-B352-2CE143F97FC5}</b:Guid>
    <b:Title>Depression and Other Common Mental Disorders. Global Health Estimates</b:Title>
    <b:Year>2017</b:Year>
    <b:Author>
      <b:Author>
        <b:Corporate>World Health Organization</b:Corporate>
      </b:Author>
    </b:Author>
    <b:City>Geneva</b:City>
    <b:RefOrder>4</b:RefOrder>
  </b:Source>
  <b:Source>
    <b:Tag>Wor172</b:Tag>
    <b:SourceType>InternetSite</b:SourceType>
    <b:Guid>{1EBFBF9D-2096-485E-9F4B-4A8777A3B435}</b:Guid>
    <b:Author>
      <b:Author>
        <b:Corporate>World Health Organization</b:Corporate>
      </b:Author>
    </b:Author>
    <b:InternetSiteTitle>Mental Health - Mental Health Action Plan 2013-2020</b:InternetSiteTitle>
    <b:YearAccessed>2017</b:YearAccessed>
    <b:MonthAccessed>March</b:MonthAccessed>
    <b:DayAccessed>21</b:DayAccessed>
    <b:URL>http://www.who.int/mental_health/publications/action_plan/en/</b:URL>
    <b:RefOrder>5</b:RefOrder>
  </b:Source>
  <b:Source>
    <b:Tag>Mon12</b:Tag>
    <b:SourceType>InternetSite</b:SourceType>
    <b:Guid>{A6446CC9-4D99-4165-A9DC-E09CB157E322}</b:Guid>
    <b:Author>
      <b:Author>
        <b:Corporate>Monitorul Oficial, Partea I nr. 652 din 13 septembrie 2012 </b:Corporate>
      </b:Author>
    </b:Author>
    <b:InternetSiteTitle>Legea 487/2002 republicata 2012, legea sanatatii mintale si a protectiei persoanelor cu tulburari psihice</b:InternetSiteTitle>
    <b:Year>2012 </b:Year>
    <b:YearAccessed>2017</b:YearAccessed>
    <b:MonthAccessed>March</b:MonthAccessed>
    <b:DayAccessed>21</b:DayAccessed>
    <b:URL>http://www.dreptonline.ro/legislatie/legea_sanatatii_mintale.php</b:URL>
    <b:RefOrder>6</b:RefOrder>
  </b:Source>
  <b:Source>
    <b:Tag>Min16</b:Tag>
    <b:SourceType>InternetSite</b:SourceType>
    <b:Guid>{6AA1CF0B-1507-4724-9406-5E6DCB4500AA}</b:Guid>
    <b:Author>
      <b:Author>
        <b:Corporate>Ministerul Sănătății</b:Corporate>
      </b:Author>
    </b:Author>
    <b:InternetSiteTitle>Normele de aplicare a Legii sănătății mintale și a protecției persoanelor cu tulburări psihice nr. 487/2002, din 15.04.2016</b:InternetSiteTitle>
    <b:Year>2016</b:Year>
    <b:YearAccessed>2017</b:YearAccessed>
    <b:MonthAccessed>March</b:MonthAccessed>
    <b:DayAccessed>21</b:DayAccessed>
    <b:URL>http://lege5.ro/Gratuit/geydmobuhe3q/normele-de-aplicare-a-legii-sanatatii-mintale-si-a-protectiei-persoanelor-cu-tulburari-psihice-nr-487-2002-din-15042016&amp;d=2017-03-22</b:URL>
    <b:RefOrder>7</b:RefOrder>
  </b:Source>
  <b:Source>
    <b:Tag>Min17</b:Tag>
    <b:SourceType>InternetSite</b:SourceType>
    <b:Guid>{ECDB09B9-E2F2-4D83-B912-6C02A869B8CD}</b:Guid>
    <b:Author>
      <b:Author>
        <b:Corporate>Ministerul Sănătății - Centrul Național de Sănătate Mintală și Luptă Antidrog</b:Corporate>
      </b:Author>
    </b:Author>
    <b:InternetSiteTitle>Centrul Național de Sănătate Mintală și Luptă Antidrog</b:InternetSiteTitle>
    <b:YearAccessed>2017</b:YearAccessed>
    <b:MonthAccessed>March</b:MonthAccessed>
    <b:DayAccessed>21</b:DayAccessed>
    <b:URL>http://cnsm.org.ro/index.html</b:URL>
    <b:RefOrder>8</b:RefOrder>
  </b:Source>
</b:Sources>
</file>

<file path=customXml/itemProps1.xml><?xml version="1.0" encoding="utf-8"?>
<ds:datastoreItem xmlns:ds="http://schemas.openxmlformats.org/officeDocument/2006/customXml" ds:itemID="{2E8327E6-E73D-4D9A-BDD9-FEF900C9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12113</TotalTime>
  <Pages>18</Pages>
  <Words>6895</Words>
  <Characters>39993</Characters>
  <Application>Microsoft Office Word</Application>
  <DocSecurity>0</DocSecurity>
  <Lines>333</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 Sandu</dc:creator>
  <cp:lastModifiedBy>drMardare</cp:lastModifiedBy>
  <cp:revision>97</cp:revision>
  <cp:lastPrinted>2019-03-25T16:53:00Z</cp:lastPrinted>
  <dcterms:created xsi:type="dcterms:W3CDTF">2018-03-20T06:40:00Z</dcterms:created>
  <dcterms:modified xsi:type="dcterms:W3CDTF">2019-04-05T07:32:00Z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